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r>
        <w:rPr>
          <w:rFonts w:hint="eastAsia" w:hAnsi="宋体"/>
          <w:b/>
          <w:bCs/>
          <w:sz w:val="84"/>
          <w:szCs w:val="84"/>
        </w:rPr>
        <w:t>政府采购</w:t>
      </w:r>
    </w:p>
    <w:p>
      <w:pPr>
        <w:pStyle w:val="22"/>
        <w:spacing w:line="400" w:lineRule="atLeast"/>
        <w:jc w:val="center"/>
        <w:rPr>
          <w:rFonts w:hAnsi="宋体"/>
          <w:b/>
          <w:bCs/>
          <w:sz w:val="84"/>
          <w:szCs w:val="84"/>
        </w:rPr>
      </w:pPr>
      <w:r>
        <w:rPr>
          <w:rFonts w:hint="eastAsia" w:hAnsi="宋体"/>
          <w:b/>
          <w:bCs/>
          <w:sz w:val="84"/>
          <w:szCs w:val="84"/>
        </w:rPr>
        <w:t>招 标 文 件</w:t>
      </w:r>
    </w:p>
    <w:p>
      <w:pPr>
        <w:pStyle w:val="22"/>
        <w:spacing w:line="400" w:lineRule="atLeast"/>
        <w:rPr>
          <w:rFonts w:ascii="华文中宋" w:hAnsi="华文中宋" w:eastAsia="华文中宋"/>
          <w:b/>
          <w:bCs/>
          <w:sz w:val="44"/>
          <w:szCs w:val="44"/>
        </w:rPr>
      </w:pPr>
    </w:p>
    <w:p>
      <w:pPr>
        <w:pStyle w:val="22"/>
        <w:spacing w:line="400" w:lineRule="atLeast"/>
        <w:rPr>
          <w:rFonts w:ascii="华文中宋" w:hAnsi="华文中宋" w:eastAsia="华文中宋"/>
          <w:b/>
          <w:bCs/>
          <w:sz w:val="44"/>
          <w:szCs w:val="44"/>
        </w:rPr>
      </w:pPr>
    </w:p>
    <w:p>
      <w:pPr>
        <w:pStyle w:val="22"/>
        <w:spacing w:beforeLines="100" w:afterLines="100" w:line="360" w:lineRule="auto"/>
        <w:rPr>
          <w:rFonts w:hAnsi="宋体"/>
          <w:b/>
          <w:bCs/>
          <w:sz w:val="30"/>
          <w:szCs w:val="30"/>
        </w:rPr>
      </w:pPr>
      <w:r>
        <w:rPr>
          <w:rFonts w:hint="eastAsia" w:hAnsi="宋体"/>
          <w:b/>
          <w:bCs/>
          <w:sz w:val="30"/>
          <w:szCs w:val="30"/>
        </w:rPr>
        <w:t>采购项目名称: 平江县贫困地区村文化活动室设备购置项目</w:t>
      </w:r>
    </w:p>
    <w:p>
      <w:pPr>
        <w:pStyle w:val="22"/>
        <w:spacing w:beforeLines="100" w:afterLines="100" w:line="360" w:lineRule="auto"/>
        <w:rPr>
          <w:rFonts w:hAnsi="宋体"/>
          <w:b/>
          <w:bCs/>
          <w:sz w:val="30"/>
          <w:szCs w:val="30"/>
        </w:rPr>
      </w:pPr>
      <w:r>
        <w:rPr>
          <w:rFonts w:hint="eastAsia" w:hAnsi="宋体"/>
          <w:b/>
          <w:bCs/>
          <w:sz w:val="30"/>
          <w:szCs w:val="30"/>
        </w:rPr>
        <w:t>政府采购编号: 平财采计【2018】0938</w:t>
      </w:r>
    </w:p>
    <w:p>
      <w:pPr>
        <w:pStyle w:val="22"/>
        <w:spacing w:beforeLines="100" w:afterLines="100" w:line="360" w:lineRule="auto"/>
        <w:rPr>
          <w:rFonts w:hAnsi="宋体"/>
          <w:b/>
          <w:bCs/>
          <w:sz w:val="30"/>
          <w:szCs w:val="30"/>
        </w:rPr>
      </w:pPr>
      <w:r>
        <w:rPr>
          <w:rFonts w:hint="eastAsia" w:hAnsi="宋体"/>
          <w:b/>
          <w:bCs/>
          <w:sz w:val="30"/>
          <w:szCs w:val="30"/>
        </w:rPr>
        <w:t>委托代理编号: HNXZ-2019-YY-XMZB-0032</w:t>
      </w:r>
    </w:p>
    <w:p>
      <w:pPr>
        <w:pStyle w:val="22"/>
        <w:spacing w:beforeLines="100" w:afterLines="100" w:line="360" w:lineRule="auto"/>
        <w:rPr>
          <w:rFonts w:hAnsi="宋体"/>
          <w:b/>
          <w:bCs/>
          <w:sz w:val="30"/>
          <w:szCs w:val="30"/>
        </w:rPr>
      </w:pPr>
      <w:r>
        <w:rPr>
          <w:rFonts w:hint="eastAsia" w:hAnsi="宋体"/>
          <w:b/>
          <w:bCs/>
          <w:sz w:val="30"/>
          <w:szCs w:val="30"/>
        </w:rPr>
        <w:t>采购代理机构: 湖南省湘咨工程咨询有限责任公司</w:t>
      </w:r>
    </w:p>
    <w:p>
      <w:pPr>
        <w:pStyle w:val="22"/>
        <w:ind w:firstLine="3196" w:firstLineChars="995"/>
        <w:rPr>
          <w:rFonts w:hAnsi="宋体"/>
          <w:b/>
          <w:bCs/>
          <w:sz w:val="32"/>
          <w:szCs w:val="32"/>
        </w:rPr>
      </w:pPr>
    </w:p>
    <w:p>
      <w:pPr>
        <w:pStyle w:val="22"/>
        <w:rPr>
          <w:rFonts w:hAnsi="宋体"/>
          <w:b/>
          <w:bCs/>
          <w:sz w:val="32"/>
          <w:szCs w:val="32"/>
        </w:rPr>
      </w:pPr>
    </w:p>
    <w:p>
      <w:pPr>
        <w:jc w:val="center"/>
        <w:rPr>
          <w:rFonts w:hAnsi="宋体"/>
          <w:b/>
          <w:spacing w:val="160"/>
          <w:sz w:val="28"/>
          <w:szCs w:val="28"/>
        </w:rPr>
      </w:pPr>
      <w:r>
        <w:rPr>
          <w:rFonts w:hint="eastAsia" w:hAnsi="宋体"/>
          <w:b/>
          <w:bCs/>
          <w:sz w:val="32"/>
          <w:szCs w:val="32"/>
        </w:rPr>
        <w:t>2019年4月</w:t>
      </w:r>
      <w:r>
        <w:rPr>
          <w:rFonts w:hint="eastAsia" w:hAnsi="宋体"/>
          <w:b/>
          <w:spacing w:val="160"/>
          <w:sz w:val="28"/>
          <w:szCs w:val="28"/>
        </w:rPr>
        <w:t xml:space="preserve"> </w:t>
      </w:r>
      <w:bookmarkStart w:id="0" w:name="_Toc23428_WPSOffice_Type3"/>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p>
    <w:p>
      <w:pPr>
        <w:jc w:val="center"/>
        <w:rPr>
          <w:rFonts w:hAnsi="宋体"/>
          <w:b/>
          <w:spacing w:val="160"/>
          <w:sz w:val="28"/>
          <w:szCs w:val="28"/>
        </w:rPr>
      </w:pPr>
      <w:bookmarkStart w:id="446" w:name="_GoBack"/>
      <w:bookmarkEnd w:id="446"/>
    </w:p>
    <w:bookmarkEnd w:id="0"/>
    <w:p>
      <w:pPr>
        <w:pStyle w:val="158"/>
        <w:jc w:val="center"/>
        <w:rPr>
          <w:rFonts w:ascii="微软雅黑" w:hAnsi="微软雅黑" w:eastAsia="微软雅黑"/>
          <w:b w:val="0"/>
          <w:color w:val="auto"/>
          <w:sz w:val="36"/>
        </w:rPr>
      </w:pPr>
      <w:r>
        <w:rPr>
          <w:rFonts w:ascii="微软雅黑" w:hAnsi="微软雅黑" w:eastAsia="微软雅黑"/>
          <w:b w:val="0"/>
          <w:color w:val="auto"/>
          <w:sz w:val="36"/>
          <w:lang w:val="zh-CN"/>
        </w:rPr>
        <w:t>目</w:t>
      </w:r>
      <w:r>
        <w:rPr>
          <w:rFonts w:hint="eastAsia" w:ascii="微软雅黑" w:hAnsi="微软雅黑" w:eastAsia="微软雅黑"/>
          <w:b w:val="0"/>
          <w:color w:val="auto"/>
          <w:sz w:val="36"/>
          <w:lang w:val="zh-CN"/>
        </w:rPr>
        <w:t xml:space="preserve">        </w:t>
      </w:r>
      <w:r>
        <w:rPr>
          <w:rFonts w:ascii="微软雅黑" w:hAnsi="微软雅黑" w:eastAsia="微软雅黑"/>
          <w:b w:val="0"/>
          <w:color w:val="auto"/>
          <w:sz w:val="36"/>
          <w:lang w:val="zh-CN"/>
        </w:rPr>
        <w:t>录</w:t>
      </w:r>
    </w:p>
    <w:p>
      <w:pPr>
        <w:pStyle w:val="29"/>
        <w:tabs>
          <w:tab w:val="right" w:leader="dot" w:pos="9062"/>
        </w:tabs>
        <w:rPr>
          <w:rStyle w:val="51"/>
          <w:color w:val="auto"/>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"_Toc536603228" </w:instrText>
      </w:r>
      <w:r>
        <w:fldChar w:fldCharType="separate"/>
      </w:r>
      <w:r>
        <w:rPr>
          <w:rStyle w:val="51"/>
          <w:rFonts w:hint="eastAsia"/>
          <w:b/>
          <w:color w:val="auto"/>
        </w:rPr>
        <w:t>招</w:t>
      </w:r>
      <w:r>
        <w:rPr>
          <w:rStyle w:val="51"/>
          <w:b/>
          <w:color w:val="auto"/>
        </w:rPr>
        <w:t xml:space="preserve"> </w:t>
      </w:r>
      <w:r>
        <w:rPr>
          <w:rStyle w:val="51"/>
          <w:rFonts w:hint="eastAsia"/>
          <w:b/>
          <w:color w:val="auto"/>
        </w:rPr>
        <w:t>标</w:t>
      </w:r>
      <w:r>
        <w:rPr>
          <w:rStyle w:val="51"/>
          <w:b/>
          <w:color w:val="auto"/>
        </w:rPr>
        <w:t xml:space="preserve"> </w:t>
      </w:r>
      <w:r>
        <w:rPr>
          <w:rStyle w:val="51"/>
          <w:rFonts w:hint="eastAsia"/>
          <w:b/>
          <w:color w:val="auto"/>
        </w:rPr>
        <w:t>文</w:t>
      </w:r>
      <w:r>
        <w:rPr>
          <w:rStyle w:val="51"/>
          <w:b/>
          <w:color w:val="auto"/>
        </w:rPr>
        <w:t xml:space="preserve"> </w:t>
      </w:r>
      <w:r>
        <w:rPr>
          <w:rStyle w:val="51"/>
          <w:rFonts w:hint="eastAsia"/>
          <w:b/>
          <w:color w:val="auto"/>
        </w:rPr>
        <w:t>件</w:t>
      </w:r>
      <w:r>
        <w:rPr>
          <w:rStyle w:val="51"/>
          <w:color w:val="auto"/>
        </w:rPr>
        <w:tab/>
      </w:r>
      <w:r>
        <w:rPr>
          <w:rStyle w:val="51"/>
          <w:color w:val="auto"/>
        </w:rPr>
        <w:fldChar w:fldCharType="begin"/>
      </w:r>
      <w:r>
        <w:rPr>
          <w:rStyle w:val="51"/>
          <w:color w:val="auto"/>
        </w:rPr>
        <w:instrText xml:space="preserve"> PAGEREF _Toc536603228 \h </w:instrText>
      </w:r>
      <w:r>
        <w:rPr>
          <w:rStyle w:val="51"/>
          <w:color w:val="auto"/>
        </w:rPr>
        <w:fldChar w:fldCharType="separate"/>
      </w:r>
      <w:r>
        <w:rPr>
          <w:rStyle w:val="51"/>
          <w:color w:val="auto"/>
        </w:rPr>
        <w:t>5</w:t>
      </w:r>
      <w:r>
        <w:rPr>
          <w:rStyle w:val="51"/>
          <w:color w:val="auto"/>
        </w:rPr>
        <w:fldChar w:fldCharType="end"/>
      </w:r>
      <w:r>
        <w:rPr>
          <w:rStyle w:val="51"/>
          <w:color w:val="auto"/>
        </w:rPr>
        <w:fldChar w:fldCharType="end"/>
      </w:r>
    </w:p>
    <w:p>
      <w:pPr>
        <w:pStyle w:val="29"/>
        <w:tabs>
          <w:tab w:val="right" w:leader="dot" w:pos="9062"/>
        </w:tabs>
        <w:rPr>
          <w:rStyle w:val="51"/>
          <w:color w:val="auto"/>
        </w:rPr>
      </w:pPr>
      <w:r>
        <w:fldChar w:fldCharType="begin"/>
      </w:r>
      <w:r>
        <w:instrText xml:space="preserve"> HYPERLINK \l "_Toc536603229" </w:instrText>
      </w:r>
      <w:r>
        <w:fldChar w:fldCharType="separate"/>
      </w:r>
      <w:r>
        <w:rPr>
          <w:rStyle w:val="51"/>
          <w:b/>
          <w:color w:val="auto"/>
        </w:rPr>
        <w:t>(</w:t>
      </w:r>
      <w:r>
        <w:rPr>
          <w:rStyle w:val="51"/>
          <w:rFonts w:hint="eastAsia"/>
          <w:b/>
          <w:color w:val="auto"/>
        </w:rPr>
        <w:t>第一部分</w:t>
      </w:r>
      <w:r>
        <w:rPr>
          <w:rStyle w:val="51"/>
          <w:b/>
          <w:color w:val="auto"/>
        </w:rPr>
        <w:t>)</w:t>
      </w:r>
      <w:r>
        <w:rPr>
          <w:rStyle w:val="51"/>
          <w:color w:val="auto"/>
        </w:rPr>
        <w:tab/>
      </w:r>
      <w:r>
        <w:rPr>
          <w:rStyle w:val="51"/>
          <w:color w:val="auto"/>
        </w:rPr>
        <w:fldChar w:fldCharType="begin"/>
      </w:r>
      <w:r>
        <w:rPr>
          <w:rStyle w:val="51"/>
          <w:color w:val="auto"/>
        </w:rPr>
        <w:instrText xml:space="preserve"> PAGEREF _Toc536603229 \h </w:instrText>
      </w:r>
      <w:r>
        <w:rPr>
          <w:rStyle w:val="51"/>
          <w:color w:val="auto"/>
        </w:rPr>
        <w:fldChar w:fldCharType="separate"/>
      </w:r>
      <w:r>
        <w:rPr>
          <w:rStyle w:val="51"/>
          <w:color w:val="auto"/>
        </w:rPr>
        <w:t>5</w:t>
      </w:r>
      <w:r>
        <w:rPr>
          <w:rStyle w:val="51"/>
          <w:color w:val="auto"/>
        </w:rPr>
        <w:fldChar w:fldCharType="end"/>
      </w:r>
      <w:r>
        <w:rPr>
          <w:rStyle w:val="51"/>
          <w:color w:val="auto"/>
        </w:rPr>
        <w:fldChar w:fldCharType="end"/>
      </w:r>
    </w:p>
    <w:p>
      <w:pPr>
        <w:pStyle w:val="29"/>
        <w:tabs>
          <w:tab w:val="right" w:leader="dot" w:pos="9062"/>
        </w:tabs>
        <w:ind w:firstLine="315" w:firstLineChars="150"/>
        <w:rPr>
          <w:rStyle w:val="51"/>
          <w:color w:val="auto"/>
        </w:rPr>
      </w:pPr>
      <w:r>
        <w:fldChar w:fldCharType="begin"/>
      </w:r>
      <w:r>
        <w:instrText xml:space="preserve"> HYPERLINK \l "_Toc536603230" </w:instrText>
      </w:r>
      <w:r>
        <w:fldChar w:fldCharType="separate"/>
      </w:r>
      <w:r>
        <w:rPr>
          <w:rStyle w:val="51"/>
          <w:rFonts w:hint="eastAsia"/>
          <w:b/>
          <w:color w:val="auto"/>
        </w:rPr>
        <w:t>第一章</w:t>
      </w:r>
      <w:r>
        <w:rPr>
          <w:rStyle w:val="51"/>
          <w:b/>
          <w:color w:val="auto"/>
        </w:rPr>
        <w:t xml:space="preserve"> </w:t>
      </w:r>
      <w:r>
        <w:rPr>
          <w:rStyle w:val="51"/>
          <w:rFonts w:hint="eastAsia"/>
          <w:b/>
          <w:color w:val="auto"/>
        </w:rPr>
        <w:t>投标须知</w:t>
      </w:r>
      <w:r>
        <w:rPr>
          <w:rStyle w:val="51"/>
          <w:color w:val="auto"/>
        </w:rPr>
        <w:tab/>
      </w:r>
      <w:r>
        <w:rPr>
          <w:rStyle w:val="51"/>
          <w:color w:val="auto"/>
        </w:rPr>
        <w:fldChar w:fldCharType="begin"/>
      </w:r>
      <w:r>
        <w:rPr>
          <w:rStyle w:val="51"/>
          <w:color w:val="auto"/>
        </w:rPr>
        <w:instrText xml:space="preserve"> PAGEREF _Toc536603230 \h </w:instrText>
      </w:r>
      <w:r>
        <w:rPr>
          <w:rStyle w:val="51"/>
          <w:color w:val="auto"/>
        </w:rPr>
        <w:fldChar w:fldCharType="separate"/>
      </w:r>
      <w:r>
        <w:rPr>
          <w:rStyle w:val="51"/>
          <w:color w:val="auto"/>
        </w:rPr>
        <w:t>6</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"_Toc536603231" </w:instrText>
      </w:r>
      <w:r>
        <w:fldChar w:fldCharType="separate"/>
      </w:r>
      <w:r>
        <w:rPr>
          <w:rStyle w:val="51"/>
          <w:rFonts w:hint="eastAsia"/>
          <w:color w:val="auto"/>
        </w:rPr>
        <w:t>一、说明</w:t>
      </w:r>
      <w:r>
        <w:rPr>
          <w:rStyle w:val="51"/>
          <w:color w:val="auto"/>
        </w:rPr>
        <w:tab/>
      </w:r>
      <w:r>
        <w:rPr>
          <w:rStyle w:val="51"/>
          <w:color w:val="auto"/>
        </w:rPr>
        <w:fldChar w:fldCharType="begin"/>
      </w:r>
      <w:r>
        <w:rPr>
          <w:rStyle w:val="51"/>
          <w:color w:val="auto"/>
        </w:rPr>
        <w:instrText xml:space="preserve"> PAGEREF _Toc536603231 \h </w:instrText>
      </w:r>
      <w:r>
        <w:rPr>
          <w:rStyle w:val="51"/>
          <w:color w:val="auto"/>
        </w:rPr>
        <w:fldChar w:fldCharType="separate"/>
      </w:r>
      <w:r>
        <w:rPr>
          <w:rStyle w:val="51"/>
          <w:color w:val="auto"/>
        </w:rPr>
        <w:t>6</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"_Toc536603232" </w:instrText>
      </w:r>
      <w:r>
        <w:fldChar w:fldCharType="separate"/>
      </w:r>
      <w:r>
        <w:rPr>
          <w:rStyle w:val="51"/>
          <w:rFonts w:hint="eastAsia"/>
          <w:color w:val="auto"/>
        </w:rPr>
        <w:t>二、招标文件</w:t>
      </w:r>
      <w:r>
        <w:rPr>
          <w:rStyle w:val="51"/>
          <w:color w:val="auto"/>
        </w:rPr>
        <w:tab/>
      </w:r>
      <w:r>
        <w:rPr>
          <w:rStyle w:val="51"/>
          <w:color w:val="auto"/>
        </w:rPr>
        <w:fldChar w:fldCharType="begin"/>
      </w:r>
      <w:r>
        <w:rPr>
          <w:rStyle w:val="51"/>
          <w:color w:val="auto"/>
        </w:rPr>
        <w:instrText xml:space="preserve"> PAGEREF _Toc536603232 \h </w:instrText>
      </w:r>
      <w:r>
        <w:rPr>
          <w:rStyle w:val="51"/>
          <w:color w:val="auto"/>
        </w:rPr>
        <w:fldChar w:fldCharType="separate"/>
      </w:r>
      <w:r>
        <w:rPr>
          <w:rStyle w:val="51"/>
          <w:color w:val="auto"/>
        </w:rPr>
        <w:t>7</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"_Toc536603233" </w:instrText>
      </w:r>
      <w:r>
        <w:fldChar w:fldCharType="separate"/>
      </w:r>
      <w:r>
        <w:rPr>
          <w:rStyle w:val="51"/>
          <w:rFonts w:hint="eastAsia"/>
          <w:color w:val="auto"/>
        </w:rPr>
        <w:t>三、投标文件</w:t>
      </w:r>
      <w:r>
        <w:rPr>
          <w:rStyle w:val="51"/>
          <w:color w:val="auto"/>
        </w:rPr>
        <w:tab/>
      </w:r>
      <w:r>
        <w:rPr>
          <w:rStyle w:val="51"/>
          <w:color w:val="auto"/>
        </w:rPr>
        <w:fldChar w:fldCharType="begin"/>
      </w:r>
      <w:r>
        <w:rPr>
          <w:rStyle w:val="51"/>
          <w:color w:val="auto"/>
        </w:rPr>
        <w:instrText xml:space="preserve"> PAGEREF _Toc536603233 \h </w:instrText>
      </w:r>
      <w:r>
        <w:rPr>
          <w:rStyle w:val="51"/>
          <w:color w:val="auto"/>
        </w:rPr>
        <w:fldChar w:fldCharType="separate"/>
      </w:r>
      <w:r>
        <w:rPr>
          <w:rStyle w:val="51"/>
          <w:color w:val="auto"/>
        </w:rPr>
        <w:t>9</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"_Toc536603234" </w:instrText>
      </w:r>
      <w:r>
        <w:fldChar w:fldCharType="separate"/>
      </w:r>
      <w:r>
        <w:rPr>
          <w:rStyle w:val="51"/>
          <w:rFonts w:hint="eastAsia"/>
          <w:color w:val="auto"/>
        </w:rPr>
        <w:t>四、投标文件的递交</w:t>
      </w:r>
      <w:r>
        <w:rPr>
          <w:rStyle w:val="51"/>
          <w:color w:val="auto"/>
        </w:rPr>
        <w:tab/>
      </w:r>
      <w:r>
        <w:rPr>
          <w:rStyle w:val="51"/>
          <w:color w:val="auto"/>
        </w:rPr>
        <w:fldChar w:fldCharType="begin"/>
      </w:r>
      <w:r>
        <w:rPr>
          <w:rStyle w:val="51"/>
          <w:color w:val="auto"/>
        </w:rPr>
        <w:instrText xml:space="preserve"> PAGEREF _Toc536603234 \h </w:instrText>
      </w:r>
      <w:r>
        <w:rPr>
          <w:rStyle w:val="51"/>
          <w:color w:val="auto"/>
        </w:rPr>
        <w:fldChar w:fldCharType="separate"/>
      </w:r>
      <w:r>
        <w:rPr>
          <w:rStyle w:val="51"/>
          <w:color w:val="auto"/>
        </w:rPr>
        <w:t>13</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"_Toc536603235" </w:instrText>
      </w:r>
      <w:r>
        <w:fldChar w:fldCharType="separate"/>
      </w:r>
      <w:r>
        <w:rPr>
          <w:rStyle w:val="51"/>
          <w:rFonts w:hint="eastAsia"/>
          <w:color w:val="auto"/>
        </w:rPr>
        <w:t>五、开标和评标</w:t>
      </w:r>
      <w:r>
        <w:rPr>
          <w:rStyle w:val="51"/>
          <w:color w:val="auto"/>
        </w:rPr>
        <w:tab/>
      </w:r>
      <w:r>
        <w:rPr>
          <w:rStyle w:val="51"/>
          <w:color w:val="auto"/>
        </w:rPr>
        <w:fldChar w:fldCharType="begin"/>
      </w:r>
      <w:r>
        <w:rPr>
          <w:rStyle w:val="51"/>
          <w:color w:val="auto"/>
        </w:rPr>
        <w:instrText xml:space="preserve"> PAGEREF _Toc536603235 \h </w:instrText>
      </w:r>
      <w:r>
        <w:rPr>
          <w:rStyle w:val="51"/>
          <w:color w:val="auto"/>
        </w:rPr>
        <w:fldChar w:fldCharType="separate"/>
      </w:r>
      <w:r>
        <w:rPr>
          <w:rStyle w:val="51"/>
          <w:color w:val="auto"/>
        </w:rPr>
        <w:t>14</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"_Toc536603236" </w:instrText>
      </w:r>
      <w:r>
        <w:fldChar w:fldCharType="separate"/>
      </w:r>
      <w:r>
        <w:rPr>
          <w:rStyle w:val="51"/>
          <w:rFonts w:hint="eastAsia"/>
          <w:color w:val="auto"/>
        </w:rPr>
        <w:t>六、中标信息公布与投标人质疑</w:t>
      </w:r>
      <w:r>
        <w:rPr>
          <w:rStyle w:val="51"/>
          <w:color w:val="auto"/>
        </w:rPr>
        <w:tab/>
      </w:r>
      <w:r>
        <w:rPr>
          <w:rStyle w:val="51"/>
          <w:color w:val="auto"/>
        </w:rPr>
        <w:fldChar w:fldCharType="begin"/>
      </w:r>
      <w:r>
        <w:rPr>
          <w:rStyle w:val="51"/>
          <w:color w:val="auto"/>
        </w:rPr>
        <w:instrText xml:space="preserve"> PAGEREF _Toc536603236 \h </w:instrText>
      </w:r>
      <w:r>
        <w:rPr>
          <w:rStyle w:val="51"/>
          <w:color w:val="auto"/>
        </w:rPr>
        <w:fldChar w:fldCharType="separate"/>
      </w:r>
      <w:r>
        <w:rPr>
          <w:rStyle w:val="51"/>
          <w:color w:val="auto"/>
        </w:rPr>
        <w:t>15</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"_Toc536603237" </w:instrText>
      </w:r>
      <w:r>
        <w:fldChar w:fldCharType="separate"/>
      </w:r>
      <w:r>
        <w:rPr>
          <w:rStyle w:val="51"/>
          <w:rFonts w:hint="eastAsia"/>
          <w:color w:val="auto"/>
        </w:rPr>
        <w:t>七、合同签订</w:t>
      </w:r>
      <w:r>
        <w:rPr>
          <w:rStyle w:val="51"/>
          <w:color w:val="auto"/>
        </w:rPr>
        <w:tab/>
      </w:r>
      <w:r>
        <w:rPr>
          <w:rStyle w:val="51"/>
          <w:color w:val="auto"/>
        </w:rPr>
        <w:fldChar w:fldCharType="begin"/>
      </w:r>
      <w:r>
        <w:rPr>
          <w:rStyle w:val="51"/>
          <w:color w:val="auto"/>
        </w:rPr>
        <w:instrText xml:space="preserve"> PAGEREF _Toc536603237 \h </w:instrText>
      </w:r>
      <w:r>
        <w:rPr>
          <w:rStyle w:val="51"/>
          <w:color w:val="auto"/>
        </w:rPr>
        <w:fldChar w:fldCharType="separate"/>
      </w:r>
      <w:r>
        <w:rPr>
          <w:rStyle w:val="51"/>
          <w:color w:val="auto"/>
        </w:rPr>
        <w:t>16</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"_Toc536603238" </w:instrText>
      </w:r>
      <w:r>
        <w:fldChar w:fldCharType="separate"/>
      </w:r>
      <w:r>
        <w:rPr>
          <w:rStyle w:val="51"/>
          <w:rFonts w:hint="eastAsia"/>
          <w:color w:val="auto"/>
        </w:rPr>
        <w:t>八</w:t>
      </w:r>
      <w:r>
        <w:rPr>
          <w:rStyle w:val="51"/>
          <w:color w:val="auto"/>
        </w:rPr>
        <w:t>.</w:t>
      </w:r>
      <w:r>
        <w:rPr>
          <w:rStyle w:val="51"/>
          <w:rFonts w:hint="eastAsia"/>
          <w:color w:val="auto"/>
        </w:rPr>
        <w:t>特殊情形的规定</w:t>
      </w:r>
      <w:r>
        <w:rPr>
          <w:rStyle w:val="51"/>
          <w:color w:val="auto"/>
        </w:rPr>
        <w:tab/>
      </w:r>
      <w:r>
        <w:rPr>
          <w:rStyle w:val="51"/>
          <w:color w:val="auto"/>
        </w:rPr>
        <w:fldChar w:fldCharType="begin"/>
      </w:r>
      <w:r>
        <w:rPr>
          <w:rStyle w:val="51"/>
          <w:color w:val="auto"/>
        </w:rPr>
        <w:instrText xml:space="preserve"> PAGEREF _Toc536603238 \h </w:instrText>
      </w:r>
      <w:r>
        <w:rPr>
          <w:rStyle w:val="51"/>
          <w:color w:val="auto"/>
        </w:rPr>
        <w:fldChar w:fldCharType="separate"/>
      </w:r>
      <w:r>
        <w:rPr>
          <w:rStyle w:val="51"/>
          <w:color w:val="auto"/>
        </w:rPr>
        <w:t>17</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"_Toc536603239" </w:instrText>
      </w:r>
      <w:r>
        <w:fldChar w:fldCharType="separate"/>
      </w:r>
      <w:r>
        <w:rPr>
          <w:rStyle w:val="51"/>
          <w:rFonts w:hint="eastAsia"/>
          <w:color w:val="auto"/>
        </w:rPr>
        <w:t>九</w:t>
      </w:r>
      <w:r>
        <w:rPr>
          <w:rStyle w:val="51"/>
          <w:color w:val="auto"/>
        </w:rPr>
        <w:t>.</w:t>
      </w:r>
      <w:r>
        <w:rPr>
          <w:rStyle w:val="51"/>
          <w:rFonts w:hint="eastAsia"/>
          <w:color w:val="auto"/>
        </w:rPr>
        <w:t>其他规定</w:t>
      </w:r>
      <w:r>
        <w:rPr>
          <w:rStyle w:val="51"/>
          <w:color w:val="auto"/>
        </w:rPr>
        <w:tab/>
      </w:r>
      <w:r>
        <w:rPr>
          <w:rStyle w:val="51"/>
          <w:color w:val="auto"/>
        </w:rPr>
        <w:fldChar w:fldCharType="begin"/>
      </w:r>
      <w:r>
        <w:rPr>
          <w:rStyle w:val="51"/>
          <w:color w:val="auto"/>
        </w:rPr>
        <w:instrText xml:space="preserve"> PAGEREF _Toc536603239 \h </w:instrText>
      </w:r>
      <w:r>
        <w:rPr>
          <w:rStyle w:val="51"/>
          <w:color w:val="auto"/>
        </w:rPr>
        <w:fldChar w:fldCharType="separate"/>
      </w:r>
      <w:r>
        <w:rPr>
          <w:rStyle w:val="51"/>
          <w:color w:val="auto"/>
        </w:rPr>
        <w:t>17</w:t>
      </w:r>
      <w:r>
        <w:rPr>
          <w:rStyle w:val="51"/>
          <w:color w:val="auto"/>
        </w:rPr>
        <w:fldChar w:fldCharType="end"/>
      </w:r>
      <w:r>
        <w:rPr>
          <w:rStyle w:val="51"/>
          <w:color w:val="auto"/>
        </w:rPr>
        <w:fldChar w:fldCharType="end"/>
      </w:r>
    </w:p>
    <w:p>
      <w:pPr>
        <w:pStyle w:val="29"/>
        <w:tabs>
          <w:tab w:val="right" w:leader="dot" w:pos="9062"/>
        </w:tabs>
        <w:ind w:firstLine="210" w:firstLineChars="100"/>
        <w:rPr>
          <w:rStyle w:val="51"/>
          <w:color w:val="auto"/>
        </w:rPr>
      </w:pPr>
      <w:r>
        <w:fldChar w:fldCharType="begin"/>
      </w:r>
      <w:r>
        <w:instrText xml:space="preserve"> HYPERLINK \l "_Toc536603240" </w:instrText>
      </w:r>
      <w:r>
        <w:fldChar w:fldCharType="separate"/>
      </w:r>
      <w:r>
        <w:rPr>
          <w:rStyle w:val="51"/>
          <w:rFonts w:hint="eastAsia"/>
          <w:b/>
          <w:color w:val="auto"/>
        </w:rPr>
        <w:t>第二章</w:t>
      </w:r>
      <w:r>
        <w:rPr>
          <w:rStyle w:val="51"/>
          <w:b/>
          <w:color w:val="auto"/>
        </w:rPr>
        <w:t xml:space="preserve"> </w:t>
      </w:r>
      <w:r>
        <w:rPr>
          <w:rStyle w:val="51"/>
          <w:rFonts w:hint="eastAsia"/>
          <w:b/>
          <w:color w:val="auto"/>
        </w:rPr>
        <w:t>评标方法及标准</w:t>
      </w:r>
      <w:r>
        <w:rPr>
          <w:rStyle w:val="51"/>
          <w:b/>
          <w:color w:val="auto"/>
        </w:rPr>
        <w:t>(</w:t>
      </w:r>
      <w:r>
        <w:rPr>
          <w:rStyle w:val="51"/>
          <w:rFonts w:hint="eastAsia"/>
          <w:b/>
          <w:color w:val="auto"/>
        </w:rPr>
        <w:t>综合评分法适用</w:t>
      </w:r>
      <w:r>
        <w:rPr>
          <w:rStyle w:val="51"/>
          <w:b/>
          <w:color w:val="auto"/>
        </w:rPr>
        <w:t>)</w:t>
      </w:r>
      <w:r>
        <w:rPr>
          <w:rStyle w:val="51"/>
          <w:color w:val="auto"/>
        </w:rPr>
        <w:tab/>
      </w:r>
      <w:r>
        <w:rPr>
          <w:rStyle w:val="51"/>
          <w:color w:val="auto"/>
        </w:rPr>
        <w:fldChar w:fldCharType="begin"/>
      </w:r>
      <w:r>
        <w:rPr>
          <w:rStyle w:val="51"/>
          <w:color w:val="auto"/>
        </w:rPr>
        <w:instrText xml:space="preserve"> PAGEREF _Toc536603240 \h </w:instrText>
      </w:r>
      <w:r>
        <w:rPr>
          <w:rStyle w:val="51"/>
          <w:color w:val="auto"/>
        </w:rPr>
        <w:fldChar w:fldCharType="separate"/>
      </w:r>
      <w:r>
        <w:rPr>
          <w:rStyle w:val="51"/>
          <w:color w:val="auto"/>
        </w:rPr>
        <w:t>18</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"_Toc536603241" </w:instrText>
      </w:r>
      <w:r>
        <w:fldChar w:fldCharType="separate"/>
      </w:r>
      <w:r>
        <w:rPr>
          <w:rStyle w:val="51"/>
          <w:rFonts w:hint="eastAsia"/>
          <w:color w:val="auto"/>
        </w:rPr>
        <w:t>一</w:t>
      </w:r>
      <w:r>
        <w:rPr>
          <w:rStyle w:val="51"/>
          <w:color w:val="auto"/>
        </w:rPr>
        <w:t xml:space="preserve">. </w:t>
      </w:r>
      <w:r>
        <w:rPr>
          <w:rStyle w:val="51"/>
          <w:rFonts w:hint="eastAsia"/>
          <w:color w:val="auto"/>
        </w:rPr>
        <w:t>总则</w:t>
      </w:r>
      <w:r>
        <w:rPr>
          <w:rStyle w:val="51"/>
          <w:color w:val="auto"/>
        </w:rPr>
        <w:tab/>
      </w:r>
      <w:r>
        <w:rPr>
          <w:rStyle w:val="51"/>
          <w:color w:val="auto"/>
        </w:rPr>
        <w:fldChar w:fldCharType="begin"/>
      </w:r>
      <w:r>
        <w:rPr>
          <w:rStyle w:val="51"/>
          <w:color w:val="auto"/>
        </w:rPr>
        <w:instrText xml:space="preserve"> PAGEREF _Toc536603241 \h </w:instrText>
      </w:r>
      <w:r>
        <w:rPr>
          <w:rStyle w:val="51"/>
          <w:color w:val="auto"/>
        </w:rPr>
        <w:fldChar w:fldCharType="separate"/>
      </w:r>
      <w:r>
        <w:rPr>
          <w:rStyle w:val="51"/>
          <w:color w:val="auto"/>
        </w:rPr>
        <w:t>18</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"_Toc536603242" </w:instrText>
      </w:r>
      <w:r>
        <w:fldChar w:fldCharType="separate"/>
      </w:r>
      <w:r>
        <w:rPr>
          <w:rStyle w:val="51"/>
          <w:rFonts w:hint="eastAsia"/>
          <w:color w:val="auto"/>
        </w:rPr>
        <w:t>二</w:t>
      </w:r>
      <w:r>
        <w:rPr>
          <w:rStyle w:val="51"/>
          <w:color w:val="auto"/>
        </w:rPr>
        <w:t xml:space="preserve">. </w:t>
      </w:r>
      <w:r>
        <w:rPr>
          <w:rStyle w:val="51"/>
          <w:rFonts w:hint="eastAsia"/>
          <w:color w:val="auto"/>
        </w:rPr>
        <w:t>评标程序</w:t>
      </w:r>
      <w:r>
        <w:rPr>
          <w:rStyle w:val="51"/>
          <w:color w:val="auto"/>
        </w:rPr>
        <w:tab/>
      </w:r>
      <w:r>
        <w:rPr>
          <w:rStyle w:val="51"/>
          <w:color w:val="auto"/>
        </w:rPr>
        <w:fldChar w:fldCharType="begin"/>
      </w:r>
      <w:r>
        <w:rPr>
          <w:rStyle w:val="51"/>
          <w:color w:val="auto"/>
        </w:rPr>
        <w:instrText xml:space="preserve"> PAGEREF _Toc536603242 \h </w:instrText>
      </w:r>
      <w:r>
        <w:rPr>
          <w:rStyle w:val="51"/>
          <w:color w:val="auto"/>
        </w:rPr>
        <w:fldChar w:fldCharType="separate"/>
      </w:r>
      <w:r>
        <w:rPr>
          <w:rStyle w:val="51"/>
          <w:color w:val="auto"/>
        </w:rPr>
        <w:t>18</w:t>
      </w:r>
      <w:r>
        <w:rPr>
          <w:rStyle w:val="51"/>
          <w:color w:val="auto"/>
        </w:rPr>
        <w:fldChar w:fldCharType="end"/>
      </w:r>
      <w:r>
        <w:rPr>
          <w:rStyle w:val="51"/>
          <w:color w:val="auto"/>
        </w:rPr>
        <w:fldChar w:fldCharType="end"/>
      </w:r>
    </w:p>
    <w:p>
      <w:pPr>
        <w:pStyle w:val="29"/>
        <w:tabs>
          <w:tab w:val="right" w:leader="dot" w:pos="9062"/>
        </w:tabs>
        <w:ind w:firstLine="210" w:firstLineChars="100"/>
        <w:rPr>
          <w:rStyle w:val="51"/>
          <w:color w:val="auto"/>
        </w:rPr>
      </w:pPr>
      <w:r>
        <w:fldChar w:fldCharType="begin"/>
      </w:r>
      <w:r>
        <w:instrText xml:space="preserve"> HYPERLINK \l "_Toc536603243" </w:instrText>
      </w:r>
      <w:r>
        <w:fldChar w:fldCharType="separate"/>
      </w:r>
      <w:r>
        <w:rPr>
          <w:rStyle w:val="51"/>
          <w:rFonts w:hint="eastAsia"/>
          <w:b/>
          <w:color w:val="auto"/>
        </w:rPr>
        <w:t>第三章</w:t>
      </w:r>
      <w:r>
        <w:rPr>
          <w:rStyle w:val="51"/>
          <w:b/>
          <w:color w:val="auto"/>
        </w:rPr>
        <w:t xml:space="preserve"> </w:t>
      </w:r>
      <w:r>
        <w:rPr>
          <w:rStyle w:val="51"/>
          <w:rFonts w:hint="eastAsia"/>
          <w:b/>
          <w:color w:val="auto"/>
        </w:rPr>
        <w:t>政府采购合同格式条款</w:t>
      </w:r>
      <w:r>
        <w:rPr>
          <w:rStyle w:val="51"/>
          <w:color w:val="auto"/>
        </w:rPr>
        <w:tab/>
      </w:r>
      <w:r>
        <w:rPr>
          <w:rStyle w:val="51"/>
          <w:color w:val="auto"/>
        </w:rPr>
        <w:fldChar w:fldCharType="begin"/>
      </w:r>
      <w:r>
        <w:rPr>
          <w:rStyle w:val="51"/>
          <w:color w:val="auto"/>
        </w:rPr>
        <w:instrText xml:space="preserve"> PAGEREF _Toc536603243 \h </w:instrText>
      </w:r>
      <w:r>
        <w:rPr>
          <w:rStyle w:val="51"/>
          <w:color w:val="auto"/>
        </w:rPr>
        <w:fldChar w:fldCharType="separate"/>
      </w:r>
      <w:r>
        <w:rPr>
          <w:rStyle w:val="51"/>
          <w:color w:val="auto"/>
        </w:rPr>
        <w:t>22</w:t>
      </w:r>
      <w:r>
        <w:rPr>
          <w:rStyle w:val="51"/>
          <w:color w:val="auto"/>
        </w:rPr>
        <w:fldChar w:fldCharType="end"/>
      </w:r>
      <w:r>
        <w:rPr>
          <w:rStyle w:val="51"/>
          <w:color w:val="auto"/>
        </w:rPr>
        <w:fldChar w:fldCharType="end"/>
      </w:r>
    </w:p>
    <w:p>
      <w:pPr>
        <w:pStyle w:val="29"/>
        <w:tabs>
          <w:tab w:val="right" w:leader="dot" w:pos="9062"/>
        </w:tabs>
        <w:ind w:firstLine="210" w:firstLineChars="100"/>
      </w:pPr>
      <w:r>
        <w:fldChar w:fldCharType="begin"/>
      </w:r>
      <w:r>
        <w:instrText xml:space="preserve"> HYPERLINK \l "_Toc536603244" </w:instrText>
      </w:r>
      <w:r>
        <w:fldChar w:fldCharType="separate"/>
      </w:r>
      <w:r>
        <w:rPr>
          <w:rFonts w:hint="eastAsia"/>
          <w:b/>
        </w:rPr>
        <w:t>第四章</w:t>
      </w:r>
      <w:r>
        <w:rPr>
          <w:b/>
        </w:rPr>
        <w:t xml:space="preserve"> </w:t>
      </w:r>
      <w:r>
        <w:rPr>
          <w:rFonts w:hint="eastAsia"/>
          <w:b/>
        </w:rPr>
        <w:t>政府采购合同协议书</w:t>
      </w:r>
      <w:r>
        <w:tab/>
      </w:r>
      <w:r>
        <w:fldChar w:fldCharType="begin"/>
      </w:r>
      <w:r>
        <w:instrText xml:space="preserve"> PAGEREF _Toc536603244 \h </w:instrText>
      </w:r>
      <w:r>
        <w:fldChar w:fldCharType="separate"/>
      </w:r>
      <w:r>
        <w:t>28</w:t>
      </w:r>
      <w:r>
        <w:fldChar w:fldCharType="end"/>
      </w:r>
      <w:r>
        <w:fldChar w:fldCharType="end"/>
      </w:r>
    </w:p>
    <w:p>
      <w:pPr>
        <w:pStyle w:val="29"/>
        <w:tabs>
          <w:tab w:val="right" w:leader="dot" w:pos="9062"/>
        </w:tabs>
        <w:ind w:firstLine="210" w:firstLineChars="100"/>
        <w:rPr>
          <w:b/>
        </w:rPr>
      </w:pPr>
      <w:r>
        <w:fldChar w:fldCharType="begin"/>
      </w:r>
      <w:r>
        <w:instrText xml:space="preserve"> HYPERLINK \l "_Toc536603245" </w:instrText>
      </w:r>
      <w:r>
        <w:fldChar w:fldCharType="separate"/>
      </w:r>
      <w:r>
        <w:rPr>
          <w:rFonts w:hint="eastAsia"/>
          <w:b/>
        </w:rPr>
        <w:t>第五章</w:t>
      </w:r>
      <w:r>
        <w:rPr>
          <w:b/>
        </w:rPr>
        <w:t xml:space="preserve"> </w:t>
      </w:r>
      <w:r>
        <w:rPr>
          <w:rFonts w:hint="eastAsia"/>
          <w:b/>
        </w:rPr>
        <w:t>投标文件的组成</w:t>
      </w:r>
      <w:r>
        <w:rPr>
          <w:b/>
        </w:rPr>
        <w:tab/>
      </w:r>
      <w:r>
        <w:rPr>
          <w:b/>
        </w:rPr>
        <w:fldChar w:fldCharType="begin"/>
      </w:r>
      <w:r>
        <w:rPr>
          <w:b/>
        </w:rPr>
        <w:instrText xml:space="preserve"> PAGEREF _Toc536603245 \h </w:instrText>
      </w:r>
      <w:r>
        <w:rPr>
          <w:b/>
        </w:rPr>
        <w:fldChar w:fldCharType="separate"/>
      </w:r>
      <w:r>
        <w:rPr>
          <w:b/>
        </w:rPr>
        <w:t>30</w:t>
      </w:r>
      <w:r>
        <w:rPr>
          <w:b/>
        </w:rPr>
        <w:fldChar w:fldCharType="end"/>
      </w:r>
      <w:r>
        <w:rPr>
          <w:b/>
        </w:rPr>
        <w:fldChar w:fldCharType="end"/>
      </w:r>
    </w:p>
    <w:p>
      <w:pPr>
        <w:pStyle w:val="29"/>
        <w:tabs>
          <w:tab w:val="right" w:leader="dot" w:pos="9062"/>
        </w:tabs>
        <w:rPr>
          <w:rStyle w:val="51"/>
          <w:color w:val="auto"/>
        </w:rPr>
      </w:pPr>
      <w:r>
        <w:fldChar w:fldCharType="begin"/>
      </w:r>
      <w:r>
        <w:instrText xml:space="preserve"> HYPERLINK \l "_Toc536603246" </w:instrText>
      </w:r>
      <w:r>
        <w:fldChar w:fldCharType="separate"/>
      </w:r>
      <w:r>
        <w:rPr>
          <w:rStyle w:val="51"/>
          <w:rFonts w:hint="eastAsia"/>
          <w:b/>
          <w:color w:val="auto"/>
        </w:rPr>
        <w:t>投</w:t>
      </w:r>
      <w:r>
        <w:rPr>
          <w:rStyle w:val="51"/>
          <w:b/>
          <w:color w:val="auto"/>
        </w:rPr>
        <w:t xml:space="preserve"> </w:t>
      </w:r>
      <w:r>
        <w:rPr>
          <w:rStyle w:val="51"/>
          <w:rFonts w:hint="eastAsia"/>
          <w:b/>
          <w:color w:val="auto"/>
        </w:rPr>
        <w:t>标</w:t>
      </w:r>
      <w:r>
        <w:rPr>
          <w:rStyle w:val="51"/>
          <w:b/>
          <w:color w:val="auto"/>
        </w:rPr>
        <w:t xml:space="preserve"> </w:t>
      </w:r>
      <w:r>
        <w:rPr>
          <w:rStyle w:val="51"/>
          <w:rFonts w:hint="eastAsia"/>
          <w:b/>
          <w:color w:val="auto"/>
        </w:rPr>
        <w:t>文</w:t>
      </w:r>
      <w:r>
        <w:rPr>
          <w:rStyle w:val="51"/>
          <w:b/>
          <w:color w:val="auto"/>
        </w:rPr>
        <w:t xml:space="preserve"> </w:t>
      </w:r>
      <w:r>
        <w:rPr>
          <w:rStyle w:val="51"/>
          <w:rFonts w:hint="eastAsia"/>
          <w:b/>
          <w:color w:val="auto"/>
        </w:rPr>
        <w:t>件</w:t>
      </w:r>
      <w:r>
        <w:rPr>
          <w:rStyle w:val="51"/>
          <w:color w:val="auto"/>
        </w:rPr>
        <w:tab/>
      </w:r>
      <w:r>
        <w:rPr>
          <w:rStyle w:val="51"/>
          <w:color w:val="auto"/>
        </w:rPr>
        <w:fldChar w:fldCharType="begin"/>
      </w:r>
      <w:r>
        <w:rPr>
          <w:rStyle w:val="51"/>
          <w:color w:val="auto"/>
        </w:rPr>
        <w:instrText xml:space="preserve"> PAGEREF _Toc536603246 \h </w:instrText>
      </w:r>
      <w:r>
        <w:rPr>
          <w:rStyle w:val="51"/>
          <w:color w:val="auto"/>
        </w:rPr>
        <w:fldChar w:fldCharType="separate"/>
      </w:r>
      <w:r>
        <w:rPr>
          <w:rStyle w:val="51"/>
          <w:color w:val="auto"/>
        </w:rPr>
        <w:t>31</w:t>
      </w:r>
      <w:r>
        <w:rPr>
          <w:rStyle w:val="51"/>
          <w:color w:val="auto"/>
        </w:rPr>
        <w:fldChar w:fldCharType="end"/>
      </w:r>
      <w:r>
        <w:rPr>
          <w:rStyle w:val="51"/>
          <w:color w:val="auto"/>
        </w:rPr>
        <w:fldChar w:fldCharType="end"/>
      </w:r>
    </w:p>
    <w:p>
      <w:pPr>
        <w:pStyle w:val="29"/>
        <w:tabs>
          <w:tab w:val="right" w:leader="dot" w:pos="9062"/>
        </w:tabs>
        <w:rPr>
          <w:rStyle w:val="51"/>
          <w:color w:val="auto"/>
        </w:rPr>
      </w:pPr>
      <w:r>
        <w:fldChar w:fldCharType="begin"/>
      </w:r>
      <w:r>
        <w:instrText xml:space="preserve"> HYPERLINK \l "_Toc536603247" </w:instrText>
      </w:r>
      <w:r>
        <w:fldChar w:fldCharType="separate"/>
      </w:r>
      <w:r>
        <w:rPr>
          <w:rStyle w:val="51"/>
          <w:b/>
          <w:color w:val="auto"/>
        </w:rPr>
        <w:t>(</w:t>
      </w:r>
      <w:r>
        <w:rPr>
          <w:rStyle w:val="51"/>
          <w:rFonts w:hint="eastAsia"/>
          <w:b/>
          <w:color w:val="auto"/>
        </w:rPr>
        <w:t>商务文件</w:t>
      </w:r>
      <w:r>
        <w:rPr>
          <w:rStyle w:val="51"/>
          <w:b/>
          <w:color w:val="auto"/>
        </w:rPr>
        <w:t>)</w:t>
      </w:r>
      <w:r>
        <w:rPr>
          <w:rStyle w:val="51"/>
          <w:color w:val="auto"/>
        </w:rPr>
        <w:tab/>
      </w:r>
      <w:r>
        <w:rPr>
          <w:rStyle w:val="51"/>
          <w:color w:val="auto"/>
        </w:rPr>
        <w:fldChar w:fldCharType="begin"/>
      </w:r>
      <w:r>
        <w:rPr>
          <w:rStyle w:val="51"/>
          <w:color w:val="auto"/>
        </w:rPr>
        <w:instrText xml:space="preserve"> PAGEREF _Toc536603247 \h </w:instrText>
      </w:r>
      <w:r>
        <w:rPr>
          <w:rStyle w:val="51"/>
          <w:color w:val="auto"/>
        </w:rPr>
        <w:fldChar w:fldCharType="separate"/>
      </w:r>
      <w:r>
        <w:rPr>
          <w:rStyle w:val="51"/>
          <w:color w:val="auto"/>
        </w:rPr>
        <w:t>31</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"_Toc536603248" </w:instrText>
      </w:r>
      <w:r>
        <w:fldChar w:fldCharType="separate"/>
      </w:r>
      <w:r>
        <w:rPr>
          <w:rStyle w:val="51"/>
          <w:rFonts w:hint="eastAsia"/>
          <w:color w:val="auto"/>
        </w:rPr>
        <w:t>一、投标函</w:t>
      </w:r>
      <w:r>
        <w:rPr>
          <w:rStyle w:val="51"/>
          <w:color w:val="auto"/>
        </w:rPr>
        <w:tab/>
      </w:r>
      <w:r>
        <w:rPr>
          <w:rStyle w:val="51"/>
          <w:color w:val="auto"/>
        </w:rPr>
        <w:fldChar w:fldCharType="begin"/>
      </w:r>
      <w:r>
        <w:rPr>
          <w:rStyle w:val="51"/>
          <w:color w:val="auto"/>
        </w:rPr>
        <w:instrText xml:space="preserve"> PAGEREF _Toc536603248 \h </w:instrText>
      </w:r>
      <w:r>
        <w:rPr>
          <w:rStyle w:val="51"/>
          <w:color w:val="auto"/>
        </w:rPr>
        <w:fldChar w:fldCharType="separate"/>
      </w:r>
      <w:r>
        <w:rPr>
          <w:rStyle w:val="51"/>
          <w:color w:val="auto"/>
        </w:rPr>
        <w:t>32</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"_Toc536603249" </w:instrText>
      </w:r>
      <w:r>
        <w:fldChar w:fldCharType="separate"/>
      </w:r>
      <w:r>
        <w:rPr>
          <w:rStyle w:val="51"/>
          <w:rFonts w:hint="eastAsia"/>
          <w:color w:val="auto"/>
        </w:rPr>
        <w:t>二、开标一览表</w:t>
      </w:r>
      <w:r>
        <w:rPr>
          <w:rStyle w:val="51"/>
          <w:color w:val="auto"/>
        </w:rPr>
        <w:tab/>
      </w:r>
      <w:r>
        <w:rPr>
          <w:rStyle w:val="51"/>
          <w:color w:val="auto"/>
        </w:rPr>
        <w:fldChar w:fldCharType="begin"/>
      </w:r>
      <w:r>
        <w:rPr>
          <w:rStyle w:val="51"/>
          <w:color w:val="auto"/>
        </w:rPr>
        <w:instrText xml:space="preserve"> PAGEREF _Toc536603249 \h </w:instrText>
      </w:r>
      <w:r>
        <w:rPr>
          <w:rStyle w:val="51"/>
          <w:color w:val="auto"/>
        </w:rPr>
        <w:fldChar w:fldCharType="separate"/>
      </w:r>
      <w:r>
        <w:rPr>
          <w:rStyle w:val="51"/>
          <w:color w:val="auto"/>
        </w:rPr>
        <w:t>34</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"_Toc536603250" </w:instrText>
      </w:r>
      <w:r>
        <w:fldChar w:fldCharType="separate"/>
      </w:r>
      <w:r>
        <w:rPr>
          <w:rStyle w:val="51"/>
          <w:rFonts w:hint="eastAsia"/>
          <w:color w:val="auto"/>
        </w:rPr>
        <w:t>三、投标分项价格表</w:t>
      </w:r>
      <w:r>
        <w:rPr>
          <w:rStyle w:val="51"/>
          <w:color w:val="auto"/>
        </w:rPr>
        <w:tab/>
      </w:r>
      <w:r>
        <w:rPr>
          <w:rStyle w:val="51"/>
          <w:color w:val="auto"/>
        </w:rPr>
        <w:fldChar w:fldCharType="begin"/>
      </w:r>
      <w:r>
        <w:rPr>
          <w:rStyle w:val="51"/>
          <w:color w:val="auto"/>
        </w:rPr>
        <w:instrText xml:space="preserve"> PAGEREF _Toc536603250 \h </w:instrText>
      </w:r>
      <w:r>
        <w:rPr>
          <w:rStyle w:val="51"/>
          <w:color w:val="auto"/>
        </w:rPr>
        <w:fldChar w:fldCharType="separate"/>
      </w:r>
      <w:r>
        <w:rPr>
          <w:rStyle w:val="51"/>
          <w:color w:val="auto"/>
        </w:rPr>
        <w:t>35</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"_Toc536603251" </w:instrText>
      </w:r>
      <w:r>
        <w:fldChar w:fldCharType="separate"/>
      </w:r>
      <w:r>
        <w:rPr>
          <w:rStyle w:val="51"/>
          <w:rFonts w:hint="eastAsia"/>
          <w:color w:val="auto"/>
        </w:rPr>
        <w:t>四、商务条款响应</w:t>
      </w:r>
      <w:r>
        <w:rPr>
          <w:rStyle w:val="51"/>
          <w:color w:val="auto"/>
        </w:rPr>
        <w:t>/</w:t>
      </w:r>
      <w:r>
        <w:rPr>
          <w:rStyle w:val="51"/>
          <w:rFonts w:hint="eastAsia"/>
          <w:color w:val="auto"/>
        </w:rPr>
        <w:t>偏离表</w:t>
      </w:r>
      <w:r>
        <w:rPr>
          <w:rStyle w:val="51"/>
          <w:color w:val="auto"/>
        </w:rPr>
        <w:tab/>
      </w:r>
      <w:r>
        <w:rPr>
          <w:rStyle w:val="51"/>
          <w:color w:val="auto"/>
        </w:rPr>
        <w:fldChar w:fldCharType="begin"/>
      </w:r>
      <w:r>
        <w:rPr>
          <w:rStyle w:val="51"/>
          <w:color w:val="auto"/>
        </w:rPr>
        <w:instrText xml:space="preserve"> PAGEREF _Toc536603251 \h </w:instrText>
      </w:r>
      <w:r>
        <w:rPr>
          <w:rStyle w:val="51"/>
          <w:color w:val="auto"/>
        </w:rPr>
        <w:fldChar w:fldCharType="separate"/>
      </w:r>
      <w:r>
        <w:rPr>
          <w:rStyle w:val="51"/>
          <w:color w:val="auto"/>
        </w:rPr>
        <w:t>36</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"_Toc536603252" </w:instrText>
      </w:r>
      <w:r>
        <w:fldChar w:fldCharType="separate"/>
      </w:r>
      <w:r>
        <w:rPr>
          <w:rStyle w:val="51"/>
          <w:rFonts w:hint="eastAsia"/>
          <w:color w:val="auto"/>
        </w:rPr>
        <w:t>五、投标保证金</w:t>
      </w:r>
      <w:r>
        <w:rPr>
          <w:rStyle w:val="51"/>
          <w:color w:val="auto"/>
        </w:rPr>
        <w:tab/>
      </w:r>
      <w:r>
        <w:rPr>
          <w:rStyle w:val="51"/>
          <w:color w:val="auto"/>
        </w:rPr>
        <w:fldChar w:fldCharType="begin"/>
      </w:r>
      <w:r>
        <w:rPr>
          <w:rStyle w:val="51"/>
          <w:color w:val="auto"/>
        </w:rPr>
        <w:instrText xml:space="preserve"> PAGEREF _Toc536603252 \h </w:instrText>
      </w:r>
      <w:r>
        <w:rPr>
          <w:rStyle w:val="51"/>
          <w:color w:val="auto"/>
        </w:rPr>
        <w:fldChar w:fldCharType="separate"/>
      </w:r>
      <w:r>
        <w:rPr>
          <w:rStyle w:val="51"/>
          <w:color w:val="auto"/>
        </w:rPr>
        <w:t>37</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"_Toc536603253" </w:instrText>
      </w:r>
      <w:r>
        <w:fldChar w:fldCharType="separate"/>
      </w:r>
      <w:r>
        <w:rPr>
          <w:rStyle w:val="51"/>
          <w:rFonts w:hint="eastAsia"/>
          <w:color w:val="auto"/>
        </w:rPr>
        <w:t>六、投标人具备投标资格的证明文件</w:t>
      </w:r>
      <w:r>
        <w:rPr>
          <w:rStyle w:val="51"/>
          <w:color w:val="auto"/>
        </w:rPr>
        <w:tab/>
      </w:r>
      <w:r>
        <w:rPr>
          <w:rStyle w:val="51"/>
          <w:color w:val="auto"/>
        </w:rPr>
        <w:fldChar w:fldCharType="begin"/>
      </w:r>
      <w:r>
        <w:rPr>
          <w:rStyle w:val="51"/>
          <w:color w:val="auto"/>
        </w:rPr>
        <w:instrText xml:space="preserve"> PAGEREF _Toc536603253 \h </w:instrText>
      </w:r>
      <w:r>
        <w:rPr>
          <w:rStyle w:val="51"/>
          <w:color w:val="auto"/>
        </w:rPr>
        <w:fldChar w:fldCharType="separate"/>
      </w:r>
      <w:r>
        <w:rPr>
          <w:rStyle w:val="51"/>
          <w:color w:val="auto"/>
        </w:rPr>
        <w:t>38</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"_Toc536603263" </w:instrText>
      </w:r>
      <w:r>
        <w:fldChar w:fldCharType="separate"/>
      </w:r>
      <w:r>
        <w:rPr>
          <w:rStyle w:val="51"/>
          <w:rFonts w:hint="eastAsia"/>
          <w:color w:val="auto"/>
        </w:rPr>
        <w:t>七、投标人认为需要加以说明的其它资料（自行拟定格式提供）</w:t>
      </w:r>
      <w:r>
        <w:rPr>
          <w:rStyle w:val="51"/>
          <w:color w:val="auto"/>
        </w:rPr>
        <w:tab/>
      </w:r>
      <w:r>
        <w:rPr>
          <w:rStyle w:val="51"/>
          <w:color w:val="auto"/>
        </w:rPr>
        <w:fldChar w:fldCharType="begin"/>
      </w:r>
      <w:r>
        <w:rPr>
          <w:rStyle w:val="51"/>
          <w:color w:val="auto"/>
        </w:rPr>
        <w:instrText xml:space="preserve"> PAGEREF _Toc536603263 \h </w:instrText>
      </w:r>
      <w:r>
        <w:rPr>
          <w:rStyle w:val="51"/>
          <w:color w:val="auto"/>
        </w:rPr>
        <w:fldChar w:fldCharType="separate"/>
      </w:r>
      <w:r>
        <w:rPr>
          <w:rStyle w:val="51"/>
          <w:color w:val="auto"/>
        </w:rPr>
        <w:t>48</w:t>
      </w:r>
      <w:r>
        <w:rPr>
          <w:rStyle w:val="51"/>
          <w:color w:val="auto"/>
        </w:rPr>
        <w:fldChar w:fldCharType="end"/>
      </w:r>
      <w:r>
        <w:rPr>
          <w:rStyle w:val="51"/>
          <w:color w:val="auto"/>
        </w:rPr>
        <w:fldChar w:fldCharType="end"/>
      </w:r>
    </w:p>
    <w:p>
      <w:pPr>
        <w:pStyle w:val="33"/>
        <w:tabs>
          <w:tab w:val="right" w:leader="dot" w:pos="9062"/>
        </w:tabs>
        <w:ind w:left="0" w:leftChars="0"/>
        <w:rPr>
          <w:rFonts w:asciiTheme="minorHAnsi" w:hAnsiTheme="minorHAnsi" w:eastAsiaTheme="minorEastAsia" w:cstheme="minorBidi"/>
          <w:szCs w:val="22"/>
        </w:rPr>
      </w:pPr>
      <w:r>
        <w:fldChar w:fldCharType="begin"/>
      </w:r>
      <w:r>
        <w:instrText xml:space="preserve"> HYPERLINK \l "_Toc536603264" </w:instrText>
      </w:r>
      <w:r>
        <w:fldChar w:fldCharType="separate"/>
      </w:r>
      <w:r>
        <w:rPr>
          <w:rStyle w:val="51"/>
          <w:rFonts w:hint="eastAsia" w:hAnsi="宋体"/>
          <w:b/>
          <w:bCs/>
          <w:color w:val="auto"/>
        </w:rPr>
        <w:t>投</w:t>
      </w:r>
      <w:r>
        <w:rPr>
          <w:rStyle w:val="51"/>
          <w:rFonts w:hAnsi="宋体"/>
          <w:b/>
          <w:bCs/>
          <w:color w:val="auto"/>
        </w:rPr>
        <w:t xml:space="preserve"> </w:t>
      </w:r>
      <w:r>
        <w:rPr>
          <w:rStyle w:val="51"/>
          <w:rFonts w:hint="eastAsia" w:hAnsi="宋体"/>
          <w:b/>
          <w:bCs/>
          <w:color w:val="auto"/>
        </w:rPr>
        <w:t>标</w:t>
      </w:r>
      <w:r>
        <w:rPr>
          <w:rStyle w:val="51"/>
          <w:rFonts w:hAnsi="宋体"/>
          <w:b/>
          <w:bCs/>
          <w:color w:val="auto"/>
        </w:rPr>
        <w:t xml:space="preserve"> </w:t>
      </w:r>
      <w:r>
        <w:rPr>
          <w:rStyle w:val="51"/>
          <w:rFonts w:hint="eastAsia" w:hAnsi="宋体"/>
          <w:b/>
          <w:bCs/>
          <w:color w:val="auto"/>
        </w:rPr>
        <w:t>文</w:t>
      </w:r>
      <w:r>
        <w:rPr>
          <w:rStyle w:val="51"/>
          <w:rFonts w:hAnsi="宋体"/>
          <w:b/>
          <w:bCs/>
          <w:color w:val="auto"/>
        </w:rPr>
        <w:t xml:space="preserve"> </w:t>
      </w:r>
      <w:r>
        <w:rPr>
          <w:rStyle w:val="51"/>
          <w:rFonts w:hint="eastAsia" w:hAnsi="宋体"/>
          <w:b/>
          <w:bCs/>
          <w:color w:val="auto"/>
        </w:rPr>
        <w:t>件</w:t>
      </w:r>
      <w:r>
        <w:tab/>
      </w:r>
      <w:r>
        <w:fldChar w:fldCharType="begin"/>
      </w:r>
      <w:r>
        <w:instrText xml:space="preserve"> PAGEREF _Toc536603264 \h </w:instrText>
      </w:r>
      <w:r>
        <w:fldChar w:fldCharType="separate"/>
      </w:r>
      <w:r>
        <w:t>49</w:t>
      </w:r>
      <w:r>
        <w:fldChar w:fldCharType="end"/>
      </w:r>
      <w:r>
        <w:fldChar w:fldCharType="end"/>
      </w:r>
    </w:p>
    <w:p>
      <w:pPr>
        <w:pStyle w:val="33"/>
        <w:tabs>
          <w:tab w:val="right" w:leader="dot" w:pos="9062"/>
        </w:tabs>
        <w:ind w:left="0" w:leftChars="0"/>
        <w:rPr>
          <w:rFonts w:asciiTheme="minorHAnsi" w:hAnsiTheme="minorHAnsi" w:eastAsiaTheme="minorEastAsia" w:cstheme="minorBidi"/>
          <w:szCs w:val="22"/>
        </w:rPr>
      </w:pPr>
      <w:r>
        <w:fldChar w:fldCharType="begin"/>
      </w:r>
      <w:r>
        <w:instrText xml:space="preserve"> HYPERLINK \l "_Toc536603265" </w:instrText>
      </w:r>
      <w:r>
        <w:fldChar w:fldCharType="separate"/>
      </w:r>
      <w:r>
        <w:rPr>
          <w:rStyle w:val="51"/>
          <w:rFonts w:ascii="宋体" w:hAnsi="宋体"/>
          <w:b/>
          <w:color w:val="auto"/>
        </w:rPr>
        <w:t>(</w:t>
      </w:r>
      <w:r>
        <w:rPr>
          <w:rStyle w:val="51"/>
          <w:rFonts w:hint="eastAsia" w:ascii="宋体" w:hAnsi="宋体"/>
          <w:b/>
          <w:color w:val="auto"/>
        </w:rPr>
        <w:t>技术文件</w:t>
      </w:r>
      <w:r>
        <w:rPr>
          <w:rStyle w:val="51"/>
          <w:rFonts w:ascii="宋体" w:hAnsi="宋体"/>
          <w:b/>
          <w:color w:val="auto"/>
        </w:rPr>
        <w:t>)</w:t>
      </w:r>
      <w:r>
        <w:tab/>
      </w:r>
      <w:r>
        <w:fldChar w:fldCharType="begin"/>
      </w:r>
      <w:r>
        <w:instrText xml:space="preserve"> PAGEREF _Toc536603265 \h </w:instrText>
      </w:r>
      <w:r>
        <w:fldChar w:fldCharType="separate"/>
      </w:r>
      <w:r>
        <w:t>49</w:t>
      </w:r>
      <w:r>
        <w:fldChar w:fldCharType="end"/>
      </w:r>
      <w:r>
        <w:fldChar w:fldCharType="end"/>
      </w:r>
    </w:p>
    <w:p>
      <w:pPr>
        <w:pStyle w:val="29"/>
        <w:tabs>
          <w:tab w:val="right" w:leader="dot" w:pos="9062"/>
        </w:tabs>
        <w:ind w:firstLine="735" w:firstLineChars="350"/>
        <w:rPr>
          <w:rStyle w:val="51"/>
          <w:color w:val="auto"/>
        </w:rPr>
      </w:pPr>
      <w:r>
        <w:fldChar w:fldCharType="begin"/>
      </w:r>
      <w:r>
        <w:instrText xml:space="preserve"> HYPERLINK \l "_Toc536603266" </w:instrText>
      </w:r>
      <w:r>
        <w:fldChar w:fldCharType="separate"/>
      </w:r>
      <w:r>
        <w:rPr>
          <w:rStyle w:val="51"/>
          <w:rFonts w:hint="eastAsia"/>
          <w:color w:val="auto"/>
        </w:rPr>
        <w:t>八、货物说明一览表</w:t>
      </w:r>
      <w:r>
        <w:rPr>
          <w:rStyle w:val="51"/>
          <w:color w:val="auto"/>
        </w:rPr>
        <w:tab/>
      </w:r>
      <w:r>
        <w:rPr>
          <w:rStyle w:val="51"/>
          <w:color w:val="auto"/>
        </w:rPr>
        <w:fldChar w:fldCharType="begin"/>
      </w:r>
      <w:r>
        <w:rPr>
          <w:rStyle w:val="51"/>
          <w:color w:val="auto"/>
        </w:rPr>
        <w:instrText xml:space="preserve"> PAGEREF _Toc536603266 \h </w:instrText>
      </w:r>
      <w:r>
        <w:rPr>
          <w:rStyle w:val="51"/>
          <w:color w:val="auto"/>
        </w:rPr>
        <w:fldChar w:fldCharType="separate"/>
      </w:r>
      <w:r>
        <w:rPr>
          <w:rStyle w:val="51"/>
          <w:color w:val="auto"/>
        </w:rPr>
        <w:t>50</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"_Toc536603267" </w:instrText>
      </w:r>
      <w:r>
        <w:fldChar w:fldCharType="separate"/>
      </w:r>
      <w:r>
        <w:rPr>
          <w:rStyle w:val="51"/>
          <w:rFonts w:hint="eastAsia"/>
          <w:color w:val="auto"/>
        </w:rPr>
        <w:t>九、技术规格、参数响应</w:t>
      </w:r>
      <w:r>
        <w:rPr>
          <w:rStyle w:val="51"/>
          <w:color w:val="auto"/>
        </w:rPr>
        <w:t>/</w:t>
      </w:r>
      <w:r>
        <w:rPr>
          <w:rStyle w:val="51"/>
          <w:rFonts w:hint="eastAsia"/>
          <w:color w:val="auto"/>
        </w:rPr>
        <w:t>偏离表</w:t>
      </w:r>
      <w:r>
        <w:rPr>
          <w:rStyle w:val="51"/>
          <w:color w:val="auto"/>
        </w:rPr>
        <w:tab/>
      </w:r>
      <w:r>
        <w:rPr>
          <w:rStyle w:val="51"/>
          <w:color w:val="auto"/>
        </w:rPr>
        <w:fldChar w:fldCharType="begin"/>
      </w:r>
      <w:r>
        <w:rPr>
          <w:rStyle w:val="51"/>
          <w:color w:val="auto"/>
        </w:rPr>
        <w:instrText xml:space="preserve"> PAGEREF _Toc536603267 \h </w:instrText>
      </w:r>
      <w:r>
        <w:rPr>
          <w:rStyle w:val="51"/>
          <w:color w:val="auto"/>
        </w:rPr>
        <w:fldChar w:fldCharType="separate"/>
      </w:r>
      <w:r>
        <w:rPr>
          <w:rStyle w:val="51"/>
          <w:color w:val="auto"/>
        </w:rPr>
        <w:t>51</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"_Toc536603268" </w:instrText>
      </w:r>
      <w:r>
        <w:fldChar w:fldCharType="separate"/>
      </w:r>
      <w:r>
        <w:rPr>
          <w:rStyle w:val="51"/>
          <w:rFonts w:hint="eastAsia"/>
          <w:color w:val="auto"/>
        </w:rPr>
        <w:t>十、技术人员情况简介</w:t>
      </w:r>
      <w:r>
        <w:rPr>
          <w:rStyle w:val="51"/>
          <w:color w:val="auto"/>
        </w:rPr>
        <w:tab/>
      </w:r>
      <w:r>
        <w:rPr>
          <w:rStyle w:val="51"/>
          <w:color w:val="auto"/>
        </w:rPr>
        <w:fldChar w:fldCharType="begin"/>
      </w:r>
      <w:r>
        <w:rPr>
          <w:rStyle w:val="51"/>
          <w:color w:val="auto"/>
        </w:rPr>
        <w:instrText xml:space="preserve"> PAGEREF _Toc536603268 \h </w:instrText>
      </w:r>
      <w:r>
        <w:rPr>
          <w:rStyle w:val="51"/>
          <w:color w:val="auto"/>
        </w:rPr>
        <w:fldChar w:fldCharType="separate"/>
      </w:r>
      <w:r>
        <w:rPr>
          <w:rStyle w:val="51"/>
          <w:color w:val="auto"/>
        </w:rPr>
        <w:t>52</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"_Toc536603269" </w:instrText>
      </w:r>
      <w:r>
        <w:fldChar w:fldCharType="separate"/>
      </w:r>
      <w:r>
        <w:rPr>
          <w:rStyle w:val="51"/>
          <w:rFonts w:hint="eastAsia"/>
          <w:color w:val="auto"/>
        </w:rPr>
        <w:t>十一、售后服务承诺书</w:t>
      </w:r>
      <w:r>
        <w:rPr>
          <w:rStyle w:val="51"/>
          <w:color w:val="auto"/>
        </w:rPr>
        <w:tab/>
      </w:r>
      <w:r>
        <w:rPr>
          <w:rStyle w:val="51"/>
          <w:color w:val="auto"/>
        </w:rPr>
        <w:fldChar w:fldCharType="begin"/>
      </w:r>
      <w:r>
        <w:rPr>
          <w:rStyle w:val="51"/>
          <w:color w:val="auto"/>
        </w:rPr>
        <w:instrText xml:space="preserve"> PAGEREF _Toc536603269 \h </w:instrText>
      </w:r>
      <w:r>
        <w:rPr>
          <w:rStyle w:val="51"/>
          <w:color w:val="auto"/>
        </w:rPr>
        <w:fldChar w:fldCharType="separate"/>
      </w:r>
      <w:r>
        <w:rPr>
          <w:rStyle w:val="51"/>
          <w:color w:val="auto"/>
        </w:rPr>
        <w:t>53</w:t>
      </w:r>
      <w:r>
        <w:rPr>
          <w:rStyle w:val="51"/>
          <w:color w:val="auto"/>
        </w:rPr>
        <w:fldChar w:fldCharType="end"/>
      </w:r>
      <w:r>
        <w:rPr>
          <w:rStyle w:val="51"/>
          <w:color w:val="auto"/>
        </w:rPr>
        <w:fldChar w:fldCharType="end"/>
      </w:r>
    </w:p>
    <w:p>
      <w:pPr>
        <w:pStyle w:val="29"/>
        <w:tabs>
          <w:tab w:val="right" w:leader="dot" w:pos="9062"/>
        </w:tabs>
        <w:ind w:firstLine="735" w:firstLineChars="350"/>
        <w:rPr>
          <w:rStyle w:val="51"/>
          <w:color w:val="auto"/>
        </w:rPr>
      </w:pPr>
      <w:r>
        <w:fldChar w:fldCharType="begin"/>
      </w:r>
      <w:r>
        <w:instrText xml:space="preserve"> HYPERLINK \l "_Toc536603271" </w:instrText>
      </w:r>
      <w:r>
        <w:fldChar w:fldCharType="separate"/>
      </w:r>
      <w:r>
        <w:rPr>
          <w:rStyle w:val="51"/>
          <w:rFonts w:hint="eastAsia"/>
          <w:color w:val="auto"/>
        </w:rPr>
        <w:t>十二、投标服务符合招标文件规定的证明文件</w:t>
      </w:r>
      <w:r>
        <w:rPr>
          <w:rStyle w:val="51"/>
          <w:color w:val="auto"/>
        </w:rPr>
        <w:tab/>
      </w:r>
      <w:r>
        <w:rPr>
          <w:rStyle w:val="51"/>
          <w:color w:val="auto"/>
        </w:rPr>
        <w:fldChar w:fldCharType="begin"/>
      </w:r>
      <w:r>
        <w:rPr>
          <w:rStyle w:val="51"/>
          <w:color w:val="auto"/>
        </w:rPr>
        <w:instrText xml:space="preserve"> PAGEREF _Toc536603271 \h </w:instrText>
      </w:r>
      <w:r>
        <w:rPr>
          <w:rStyle w:val="51"/>
          <w:color w:val="auto"/>
        </w:rPr>
        <w:fldChar w:fldCharType="separate"/>
      </w:r>
      <w:r>
        <w:rPr>
          <w:rStyle w:val="51"/>
          <w:color w:val="auto"/>
        </w:rPr>
        <w:t>54</w:t>
      </w:r>
      <w:r>
        <w:rPr>
          <w:rStyle w:val="51"/>
          <w:color w:val="auto"/>
        </w:rPr>
        <w:fldChar w:fldCharType="end"/>
      </w:r>
      <w:r>
        <w:rPr>
          <w:rStyle w:val="51"/>
          <w:color w:val="auto"/>
        </w:rPr>
        <w:fldChar w:fldCharType="end"/>
      </w:r>
    </w:p>
    <w:p>
      <w:pPr>
        <w:pStyle w:val="29"/>
        <w:tabs>
          <w:tab w:val="right" w:leader="dot" w:pos="9062"/>
        </w:tabs>
        <w:rPr>
          <w:rFonts w:asciiTheme="minorHAnsi" w:hAnsiTheme="minorHAnsi" w:eastAsiaTheme="minorEastAsia" w:cstheme="minorBidi"/>
          <w:szCs w:val="22"/>
        </w:rPr>
      </w:pPr>
      <w:r>
        <w:fldChar w:fldCharType="begin"/>
      </w:r>
      <w:r>
        <w:instrText xml:space="preserve"> HYPERLINK \l "_Toc536603272" </w:instrText>
      </w:r>
      <w:r>
        <w:fldChar w:fldCharType="separate"/>
      </w:r>
      <w:r>
        <w:rPr>
          <w:rStyle w:val="51"/>
          <w:rFonts w:hint="eastAsia" w:hAnsi="宋体"/>
          <w:b/>
          <w:bCs/>
          <w:color w:val="auto"/>
        </w:rPr>
        <w:t>招</w:t>
      </w:r>
      <w:r>
        <w:rPr>
          <w:rStyle w:val="51"/>
          <w:rFonts w:hAnsi="宋体"/>
          <w:b/>
          <w:bCs/>
          <w:color w:val="auto"/>
        </w:rPr>
        <w:t xml:space="preserve"> </w:t>
      </w:r>
      <w:r>
        <w:rPr>
          <w:rStyle w:val="51"/>
          <w:rFonts w:hint="eastAsia" w:hAnsi="宋体"/>
          <w:b/>
          <w:bCs/>
          <w:color w:val="auto"/>
        </w:rPr>
        <w:t>标</w:t>
      </w:r>
      <w:r>
        <w:rPr>
          <w:rStyle w:val="51"/>
          <w:rFonts w:hAnsi="宋体"/>
          <w:b/>
          <w:bCs/>
          <w:color w:val="auto"/>
        </w:rPr>
        <w:t xml:space="preserve"> </w:t>
      </w:r>
      <w:r>
        <w:rPr>
          <w:rStyle w:val="51"/>
          <w:rFonts w:hint="eastAsia" w:hAnsi="宋体"/>
          <w:b/>
          <w:bCs/>
          <w:color w:val="auto"/>
        </w:rPr>
        <w:t>文</w:t>
      </w:r>
      <w:r>
        <w:rPr>
          <w:rStyle w:val="51"/>
          <w:rFonts w:hAnsi="宋体"/>
          <w:b/>
          <w:bCs/>
          <w:color w:val="auto"/>
        </w:rPr>
        <w:t xml:space="preserve"> </w:t>
      </w:r>
      <w:r>
        <w:rPr>
          <w:rStyle w:val="51"/>
          <w:rFonts w:hint="eastAsia" w:hAnsi="宋体"/>
          <w:b/>
          <w:bCs/>
          <w:color w:val="auto"/>
        </w:rPr>
        <w:t>件</w:t>
      </w:r>
      <w:r>
        <w:tab/>
      </w:r>
      <w:r>
        <w:fldChar w:fldCharType="begin"/>
      </w:r>
      <w:r>
        <w:instrText xml:space="preserve"> PAGEREF _Toc536603272 \h </w:instrText>
      </w:r>
      <w:r>
        <w:fldChar w:fldCharType="separate"/>
      </w:r>
      <w:r>
        <w:t>55</w:t>
      </w:r>
      <w:r>
        <w:fldChar w:fldCharType="end"/>
      </w:r>
      <w:r>
        <w:fldChar w:fldCharType="end"/>
      </w:r>
    </w:p>
    <w:p>
      <w:pPr>
        <w:pStyle w:val="29"/>
        <w:tabs>
          <w:tab w:val="right" w:leader="dot" w:pos="9062"/>
        </w:tabs>
        <w:rPr>
          <w:rFonts w:asciiTheme="minorHAnsi" w:hAnsiTheme="minorHAnsi" w:eastAsiaTheme="minorEastAsia" w:cstheme="minorBidi"/>
          <w:szCs w:val="22"/>
        </w:rPr>
      </w:pPr>
      <w:r>
        <w:fldChar w:fldCharType="begin"/>
      </w:r>
      <w:r>
        <w:instrText xml:space="preserve"> HYPERLINK \l "_Toc536603273" </w:instrText>
      </w:r>
      <w:r>
        <w:fldChar w:fldCharType="separate"/>
      </w:r>
      <w:r>
        <w:rPr>
          <w:rStyle w:val="51"/>
          <w:rFonts w:ascii="宋体" w:hAnsi="宋体"/>
          <w:b/>
          <w:color w:val="auto"/>
        </w:rPr>
        <w:t>(</w:t>
      </w:r>
      <w:r>
        <w:rPr>
          <w:rStyle w:val="51"/>
          <w:rFonts w:hint="eastAsia" w:ascii="宋体" w:hAnsi="宋体"/>
          <w:b/>
          <w:color w:val="auto"/>
        </w:rPr>
        <w:t>第二部分</w:t>
      </w:r>
      <w:r>
        <w:rPr>
          <w:rStyle w:val="51"/>
          <w:rFonts w:ascii="宋体" w:hAnsi="宋体"/>
          <w:b/>
          <w:color w:val="auto"/>
        </w:rPr>
        <w:t>)</w:t>
      </w:r>
      <w:r>
        <w:tab/>
      </w:r>
      <w:r>
        <w:fldChar w:fldCharType="begin"/>
      </w:r>
      <w:r>
        <w:instrText xml:space="preserve"> PAGEREF _Toc536603273 \h </w:instrText>
      </w:r>
      <w:r>
        <w:fldChar w:fldCharType="separate"/>
      </w:r>
      <w:r>
        <w:t>55</w:t>
      </w:r>
      <w:r>
        <w:fldChar w:fldCharType="end"/>
      </w:r>
      <w:r>
        <w:fldChar w:fldCharType="end"/>
      </w:r>
    </w:p>
    <w:p>
      <w:pPr>
        <w:pStyle w:val="33"/>
        <w:tabs>
          <w:tab w:val="right" w:leader="dot" w:pos="9062"/>
        </w:tabs>
        <w:rPr>
          <w:rFonts w:asciiTheme="minorHAnsi" w:hAnsiTheme="minorHAnsi" w:eastAsiaTheme="minorEastAsia" w:cstheme="minorBidi"/>
          <w:szCs w:val="22"/>
        </w:rPr>
      </w:pPr>
      <w:r>
        <w:fldChar w:fldCharType="begin"/>
      </w:r>
      <w:r>
        <w:instrText xml:space="preserve"> HYPERLINK \l "_Toc536603274" </w:instrText>
      </w:r>
      <w:r>
        <w:fldChar w:fldCharType="separate"/>
      </w:r>
      <w:r>
        <w:rPr>
          <w:rStyle w:val="51"/>
          <w:rFonts w:hint="eastAsia" w:ascii="黑体" w:hAnsi="华文中宋" w:eastAsia="黑体"/>
          <w:b/>
          <w:color w:val="auto"/>
        </w:rPr>
        <w:t>第六章</w:t>
      </w:r>
      <w:r>
        <w:rPr>
          <w:rStyle w:val="51"/>
          <w:rFonts w:ascii="黑体" w:hAnsi="华文中宋" w:eastAsia="黑体"/>
          <w:b/>
          <w:color w:val="auto"/>
        </w:rPr>
        <w:t xml:space="preserve"> </w:t>
      </w:r>
      <w:r>
        <w:rPr>
          <w:rStyle w:val="51"/>
          <w:rFonts w:hint="eastAsia" w:ascii="黑体" w:hAnsi="华文中宋" w:eastAsia="黑体"/>
          <w:b/>
          <w:color w:val="auto"/>
        </w:rPr>
        <w:t>招标文件前附表</w:t>
      </w:r>
      <w:r>
        <w:tab/>
      </w:r>
      <w:r>
        <w:fldChar w:fldCharType="begin"/>
      </w:r>
      <w:r>
        <w:instrText xml:space="preserve"> PAGEREF _Toc536603274 \h </w:instrText>
      </w:r>
      <w:r>
        <w:fldChar w:fldCharType="separate"/>
      </w:r>
      <w:r>
        <w:t>56</w:t>
      </w:r>
      <w:r>
        <w:fldChar w:fldCharType="end"/>
      </w:r>
      <w:r>
        <w:fldChar w:fldCharType="end"/>
      </w:r>
    </w:p>
    <w:p>
      <w:pPr>
        <w:pStyle w:val="21"/>
        <w:tabs>
          <w:tab w:val="right" w:leader="dot" w:pos="9062"/>
        </w:tabs>
        <w:rPr>
          <w:rFonts w:asciiTheme="minorHAnsi" w:hAnsiTheme="minorHAnsi" w:eastAsiaTheme="minorEastAsia" w:cstheme="minorBidi"/>
          <w:szCs w:val="22"/>
        </w:rPr>
      </w:pPr>
      <w:r>
        <w:fldChar w:fldCharType="begin"/>
      </w:r>
      <w:r>
        <w:instrText xml:space="preserve"> HYPERLINK \l "_Toc536603275" </w:instrText>
      </w:r>
      <w:r>
        <w:fldChar w:fldCharType="separate"/>
      </w:r>
      <w:r>
        <w:rPr>
          <w:rStyle w:val="51"/>
          <w:rFonts w:hint="eastAsia" w:ascii="宋体" w:hAnsi="宋体" w:cs="宋体"/>
          <w:color w:val="auto"/>
        </w:rPr>
        <w:t>第一章</w:t>
      </w:r>
      <w:r>
        <w:rPr>
          <w:rStyle w:val="51"/>
          <w:rFonts w:ascii="宋体" w:hAnsi="宋体" w:cs="宋体"/>
          <w:color w:val="auto"/>
        </w:rPr>
        <w:t xml:space="preserve"> </w:t>
      </w:r>
      <w:r>
        <w:rPr>
          <w:rStyle w:val="51"/>
          <w:rFonts w:hint="eastAsia" w:ascii="宋体" w:hAnsi="宋体" w:cs="宋体"/>
          <w:color w:val="auto"/>
        </w:rPr>
        <w:t>投标须知（前附表）</w:t>
      </w:r>
      <w:r>
        <w:tab/>
      </w:r>
      <w:r>
        <w:fldChar w:fldCharType="begin"/>
      </w:r>
      <w:r>
        <w:instrText xml:space="preserve"> PAGEREF _Toc536603275 \h </w:instrText>
      </w:r>
      <w:r>
        <w:fldChar w:fldCharType="separate"/>
      </w:r>
      <w:r>
        <w:t>56</w:t>
      </w:r>
      <w:r>
        <w:fldChar w:fldCharType="end"/>
      </w:r>
      <w:r>
        <w:fldChar w:fldCharType="end"/>
      </w:r>
    </w:p>
    <w:p>
      <w:pPr>
        <w:pStyle w:val="21"/>
        <w:tabs>
          <w:tab w:val="right" w:leader="dot" w:pos="9062"/>
        </w:tabs>
        <w:rPr>
          <w:rFonts w:asciiTheme="minorHAnsi" w:hAnsiTheme="minorHAnsi" w:eastAsiaTheme="minorEastAsia" w:cstheme="minorBidi"/>
          <w:szCs w:val="22"/>
        </w:rPr>
      </w:pPr>
      <w:r>
        <w:fldChar w:fldCharType="begin"/>
      </w:r>
      <w:r>
        <w:instrText xml:space="preserve"> HYPERLINK \l "_Toc536603276" </w:instrText>
      </w:r>
      <w:r>
        <w:fldChar w:fldCharType="separate"/>
      </w:r>
      <w:r>
        <w:rPr>
          <w:rStyle w:val="51"/>
          <w:rFonts w:hint="eastAsia" w:ascii="宋体" w:hAnsi="宋体" w:cs="宋体"/>
          <w:color w:val="auto"/>
        </w:rPr>
        <w:t>第二章</w:t>
      </w:r>
      <w:r>
        <w:rPr>
          <w:rStyle w:val="51"/>
          <w:rFonts w:ascii="宋体" w:hAnsi="宋体" w:cs="宋体"/>
          <w:color w:val="auto"/>
        </w:rPr>
        <w:t xml:space="preserve"> </w:t>
      </w:r>
      <w:r>
        <w:rPr>
          <w:rStyle w:val="51"/>
          <w:rFonts w:hint="eastAsia" w:ascii="宋体" w:hAnsi="宋体" w:cs="宋体"/>
          <w:color w:val="auto"/>
        </w:rPr>
        <w:t>评标方法及标准</w:t>
      </w:r>
      <w:r>
        <w:rPr>
          <w:rStyle w:val="51"/>
          <w:rFonts w:ascii="宋体" w:hAnsi="宋体" w:cs="宋体"/>
          <w:color w:val="auto"/>
        </w:rPr>
        <w:t>(</w:t>
      </w:r>
      <w:r>
        <w:rPr>
          <w:rStyle w:val="51"/>
          <w:rFonts w:hint="eastAsia" w:ascii="宋体" w:hAnsi="宋体" w:cs="宋体"/>
          <w:color w:val="auto"/>
        </w:rPr>
        <w:t>综合评分法适用</w:t>
      </w:r>
      <w:r>
        <w:rPr>
          <w:rStyle w:val="51"/>
          <w:rFonts w:ascii="宋体" w:hAnsi="宋体" w:cs="宋体"/>
          <w:color w:val="auto"/>
        </w:rPr>
        <w:t>)</w:t>
      </w:r>
      <w:r>
        <w:rPr>
          <w:rStyle w:val="51"/>
          <w:rFonts w:hint="eastAsia" w:ascii="宋体" w:hAnsi="宋体" w:cs="宋体"/>
          <w:color w:val="auto"/>
        </w:rPr>
        <w:t>（前附表）</w:t>
      </w:r>
      <w:r>
        <w:tab/>
      </w:r>
      <w:r>
        <w:fldChar w:fldCharType="begin"/>
      </w:r>
      <w:r>
        <w:instrText xml:space="preserve"> PAGEREF _Toc536603276 \h </w:instrText>
      </w:r>
      <w:r>
        <w:fldChar w:fldCharType="separate"/>
      </w:r>
      <w:r>
        <w:t>64</w:t>
      </w:r>
      <w:r>
        <w:fldChar w:fldCharType="end"/>
      </w:r>
      <w:r>
        <w:fldChar w:fldCharType="end"/>
      </w:r>
    </w:p>
    <w:p>
      <w:pPr>
        <w:pStyle w:val="21"/>
        <w:tabs>
          <w:tab w:val="right" w:leader="dot" w:pos="9062"/>
        </w:tabs>
        <w:rPr>
          <w:rFonts w:asciiTheme="minorHAnsi" w:hAnsiTheme="minorHAnsi" w:eastAsiaTheme="minorEastAsia" w:cstheme="minorBidi"/>
          <w:szCs w:val="22"/>
        </w:rPr>
      </w:pPr>
      <w:r>
        <w:fldChar w:fldCharType="begin"/>
      </w:r>
      <w:r>
        <w:instrText xml:space="preserve"> HYPERLINK \l "_Toc536603277" </w:instrText>
      </w:r>
      <w:r>
        <w:fldChar w:fldCharType="separate"/>
      </w:r>
      <w:r>
        <w:rPr>
          <w:rStyle w:val="51"/>
          <w:rFonts w:hint="eastAsia" w:ascii="宋体" w:hAnsi="宋体" w:cs="宋体"/>
          <w:color w:val="auto"/>
        </w:rPr>
        <w:t>第三章</w:t>
      </w:r>
      <w:r>
        <w:rPr>
          <w:rStyle w:val="51"/>
          <w:rFonts w:ascii="宋体" w:hAnsi="宋体" w:cs="宋体"/>
          <w:color w:val="auto"/>
        </w:rPr>
        <w:t xml:space="preserve"> </w:t>
      </w:r>
      <w:r>
        <w:rPr>
          <w:rStyle w:val="51"/>
          <w:rFonts w:hint="eastAsia" w:ascii="宋体" w:hAnsi="宋体" w:cs="宋体"/>
          <w:color w:val="auto"/>
        </w:rPr>
        <w:t>政府采购合同格式条款（前附表）</w:t>
      </w:r>
      <w:r>
        <w:tab/>
      </w:r>
      <w:r>
        <w:fldChar w:fldCharType="begin"/>
      </w:r>
      <w:r>
        <w:instrText xml:space="preserve"> PAGEREF _Toc536603277 \h </w:instrText>
      </w:r>
      <w:r>
        <w:fldChar w:fldCharType="separate"/>
      </w:r>
      <w:r>
        <w:t>66</w:t>
      </w:r>
      <w:r>
        <w:fldChar w:fldCharType="end"/>
      </w:r>
      <w:r>
        <w:fldChar w:fldCharType="end"/>
      </w:r>
    </w:p>
    <w:p>
      <w:pPr>
        <w:pStyle w:val="33"/>
        <w:tabs>
          <w:tab w:val="right" w:leader="dot" w:pos="9062"/>
        </w:tabs>
        <w:rPr>
          <w:rFonts w:asciiTheme="minorHAnsi" w:hAnsiTheme="minorHAnsi" w:eastAsiaTheme="minorEastAsia" w:cstheme="minorBidi"/>
          <w:szCs w:val="22"/>
        </w:rPr>
      </w:pPr>
      <w:r>
        <w:fldChar w:fldCharType="begin"/>
      </w:r>
      <w:r>
        <w:instrText xml:space="preserve"> HYPERLINK \l "_Toc536603278" </w:instrText>
      </w:r>
      <w:r>
        <w:fldChar w:fldCharType="separate"/>
      </w:r>
      <w:r>
        <w:rPr>
          <w:rStyle w:val="51"/>
          <w:rFonts w:hint="eastAsia" w:ascii="黑体" w:hAnsi="华文中宋" w:eastAsia="黑体"/>
          <w:b/>
          <w:color w:val="auto"/>
        </w:rPr>
        <w:t>第七章</w:t>
      </w:r>
      <w:r>
        <w:rPr>
          <w:rStyle w:val="51"/>
          <w:rFonts w:ascii="黑体" w:hAnsi="华文中宋" w:eastAsia="黑体"/>
          <w:b/>
          <w:color w:val="auto"/>
        </w:rPr>
        <w:t xml:space="preserve"> </w:t>
      </w:r>
      <w:r>
        <w:rPr>
          <w:rStyle w:val="51"/>
          <w:rFonts w:hint="eastAsia" w:ascii="黑体" w:hAnsi="华文中宋" w:eastAsia="黑体"/>
          <w:b/>
          <w:color w:val="auto"/>
        </w:rPr>
        <w:t>招标公告</w:t>
      </w:r>
      <w:r>
        <w:tab/>
      </w:r>
      <w:r>
        <w:fldChar w:fldCharType="begin"/>
      </w:r>
      <w:r>
        <w:instrText xml:space="preserve"> PAGEREF _Toc536603278 \h </w:instrText>
      </w:r>
      <w:r>
        <w:fldChar w:fldCharType="separate"/>
      </w:r>
      <w:r>
        <w:t>72</w:t>
      </w:r>
      <w:r>
        <w:fldChar w:fldCharType="end"/>
      </w:r>
      <w:r>
        <w:fldChar w:fldCharType="end"/>
      </w:r>
    </w:p>
    <w:p>
      <w:pPr>
        <w:pStyle w:val="33"/>
        <w:tabs>
          <w:tab w:val="right" w:leader="dot" w:pos="9062"/>
        </w:tabs>
        <w:rPr>
          <w:rFonts w:asciiTheme="minorHAnsi" w:hAnsiTheme="minorHAnsi" w:eastAsiaTheme="minorEastAsia" w:cstheme="minorBidi"/>
          <w:szCs w:val="22"/>
        </w:rPr>
      </w:pPr>
      <w:r>
        <w:fldChar w:fldCharType="begin"/>
      </w:r>
      <w:r>
        <w:instrText xml:space="preserve"> HYPERLINK \l "_Toc536603279" </w:instrText>
      </w:r>
      <w:r>
        <w:fldChar w:fldCharType="separate"/>
      </w:r>
      <w:r>
        <w:rPr>
          <w:rStyle w:val="51"/>
          <w:rFonts w:hint="eastAsia" w:ascii="黑体" w:hAnsi="华文中宋" w:eastAsia="黑体"/>
          <w:b/>
          <w:color w:val="auto"/>
        </w:rPr>
        <w:t>第八章</w:t>
      </w:r>
      <w:r>
        <w:rPr>
          <w:rStyle w:val="51"/>
          <w:rFonts w:ascii="黑体" w:hAnsi="华文中宋" w:eastAsia="黑体"/>
          <w:b/>
          <w:color w:val="auto"/>
        </w:rPr>
        <w:t xml:space="preserve"> </w:t>
      </w:r>
      <w:r>
        <w:rPr>
          <w:rStyle w:val="51"/>
          <w:rFonts w:hint="eastAsia" w:ascii="黑体" w:hAnsi="华文中宋" w:eastAsia="黑体"/>
          <w:b/>
          <w:color w:val="auto"/>
        </w:rPr>
        <w:t>技术标准和要求</w:t>
      </w:r>
      <w:r>
        <w:tab/>
      </w:r>
      <w:r>
        <w:fldChar w:fldCharType="begin"/>
      </w:r>
      <w:r>
        <w:instrText xml:space="preserve"> PAGEREF _Toc536603279 \h </w:instrText>
      </w:r>
      <w:r>
        <w:fldChar w:fldCharType="separate"/>
      </w:r>
      <w:r>
        <w:t>77</w:t>
      </w:r>
      <w:r>
        <w:fldChar w:fldCharType="end"/>
      </w:r>
      <w:r>
        <w:fldChar w:fldCharType="end"/>
      </w:r>
    </w:p>
    <w:p>
      <w:pPr>
        <w:rPr>
          <w:rFonts w:ascii="宋体" w:hAnsi="宋体"/>
        </w:rPr>
      </w:pPr>
      <w:r>
        <w:rPr>
          <w:rFonts w:ascii="宋体" w:hAnsi="宋体"/>
        </w:rPr>
        <w:fldChar w:fldCharType="end"/>
      </w:r>
    </w:p>
    <w:p>
      <w:pPr>
        <w:adjustRightInd w:val="0"/>
        <w:snapToGrid w:val="0"/>
        <w:spacing w:beforeLines="50" w:line="360" w:lineRule="auto"/>
        <w:ind w:firstLine="482" w:firstLineChars="200"/>
        <w:rPr>
          <w:rFonts w:ascii="仿宋" w:hAnsi="仿宋" w:eastAsia="仿宋" w:cs="仿宋"/>
          <w:b/>
          <w:sz w:val="24"/>
        </w:rPr>
      </w:pPr>
      <w:r>
        <w:rPr>
          <w:rFonts w:hint="eastAsia" w:ascii="仿宋" w:hAnsi="仿宋" w:eastAsia="仿宋" w:cs="仿宋"/>
          <w:b/>
          <w:sz w:val="24"/>
        </w:rPr>
        <w:br w:type="page"/>
      </w:r>
    </w:p>
    <w:p>
      <w:pPr>
        <w:adjustRightInd w:val="0"/>
        <w:snapToGrid w:val="0"/>
        <w:spacing w:beforeLines="50" w:line="360" w:lineRule="auto"/>
        <w:ind w:firstLine="420" w:firstLineChars="200"/>
        <w:rPr>
          <w:rFonts w:ascii="仿宋" w:hAnsi="仿宋" w:eastAsia="仿宋" w:cs="仿宋"/>
          <w:szCs w:val="21"/>
        </w:rPr>
      </w:pPr>
    </w:p>
    <w:p>
      <w:pPr>
        <w:pStyle w:val="22"/>
        <w:spacing w:line="400" w:lineRule="atLeast"/>
        <w:jc w:val="center"/>
        <w:rPr>
          <w:rFonts w:ascii="仿宋" w:hAnsi="仿宋" w:eastAsia="仿宋" w:cs="仿宋"/>
          <w:b/>
          <w:bCs/>
          <w:sz w:val="84"/>
          <w:szCs w:val="84"/>
        </w:rPr>
      </w:pPr>
    </w:p>
    <w:p>
      <w:pPr>
        <w:pStyle w:val="22"/>
        <w:spacing w:line="400" w:lineRule="atLeast"/>
        <w:jc w:val="center"/>
        <w:rPr>
          <w:rFonts w:ascii="仿宋" w:hAnsi="仿宋" w:eastAsia="仿宋" w:cs="仿宋"/>
          <w:b/>
          <w:bCs/>
          <w:sz w:val="84"/>
          <w:szCs w:val="84"/>
        </w:rPr>
      </w:pPr>
    </w:p>
    <w:p>
      <w:pPr>
        <w:pStyle w:val="22"/>
        <w:spacing w:line="400" w:lineRule="atLeast"/>
        <w:jc w:val="center"/>
        <w:rPr>
          <w:rFonts w:ascii="仿宋" w:hAnsi="仿宋" w:eastAsia="仿宋" w:cs="仿宋"/>
          <w:b/>
          <w:bCs/>
          <w:sz w:val="84"/>
          <w:szCs w:val="84"/>
        </w:rPr>
      </w:pPr>
    </w:p>
    <w:p>
      <w:pPr>
        <w:pStyle w:val="22"/>
        <w:spacing w:line="400" w:lineRule="atLeast"/>
        <w:jc w:val="center"/>
        <w:rPr>
          <w:rFonts w:ascii="仿宋" w:hAnsi="仿宋" w:eastAsia="仿宋" w:cs="仿宋"/>
          <w:b/>
          <w:bCs/>
          <w:sz w:val="84"/>
          <w:szCs w:val="84"/>
        </w:rPr>
      </w:pPr>
      <w:bookmarkStart w:id="1" w:name="_Toc3465_WPSOffice_Level1"/>
      <w:bookmarkStart w:id="2" w:name="_Toc30015_WPSOffice_Level1"/>
      <w:bookmarkStart w:id="3" w:name="_Toc11353_WPSOffice_Level1"/>
      <w:r>
        <w:rPr>
          <w:rFonts w:hint="eastAsia" w:ascii="仿宋" w:hAnsi="仿宋" w:eastAsia="仿宋" w:cs="仿宋"/>
          <w:b/>
          <w:bCs/>
          <w:sz w:val="84"/>
          <w:szCs w:val="84"/>
        </w:rPr>
        <w:t>政府采购</w:t>
      </w:r>
      <w:bookmarkEnd w:id="1"/>
      <w:bookmarkEnd w:id="2"/>
      <w:bookmarkEnd w:id="3"/>
    </w:p>
    <w:p>
      <w:pPr>
        <w:pStyle w:val="22"/>
        <w:adjustRightInd w:val="0"/>
        <w:snapToGrid w:val="0"/>
        <w:spacing w:line="360" w:lineRule="auto"/>
        <w:jc w:val="center"/>
        <w:outlineLvl w:val="0"/>
        <w:rPr>
          <w:rFonts w:ascii="仿宋" w:hAnsi="仿宋" w:eastAsia="仿宋" w:cs="仿宋"/>
          <w:b/>
          <w:bCs/>
          <w:sz w:val="84"/>
          <w:szCs w:val="84"/>
        </w:rPr>
      </w:pPr>
      <w:bookmarkStart w:id="4" w:name="_Toc29235_WPSOffice_Level1"/>
      <w:bookmarkStart w:id="5" w:name="_Toc18973_WPSOffice_Level1"/>
      <w:bookmarkStart w:id="6" w:name="_Toc15480_WPSOffice_Level1"/>
      <w:bookmarkStart w:id="7" w:name="_Toc536603228"/>
      <w:r>
        <w:rPr>
          <w:rFonts w:hint="eastAsia" w:ascii="仿宋" w:hAnsi="仿宋" w:eastAsia="仿宋" w:cs="仿宋"/>
          <w:b/>
          <w:bCs/>
          <w:sz w:val="84"/>
          <w:szCs w:val="84"/>
        </w:rPr>
        <w:t>招 标 文 件</w:t>
      </w:r>
      <w:bookmarkEnd w:id="4"/>
      <w:bookmarkEnd w:id="5"/>
      <w:bookmarkEnd w:id="6"/>
      <w:bookmarkEnd w:id="7"/>
    </w:p>
    <w:p>
      <w:pPr>
        <w:pStyle w:val="22"/>
        <w:adjustRightInd w:val="0"/>
        <w:snapToGrid w:val="0"/>
        <w:spacing w:line="360" w:lineRule="auto"/>
        <w:jc w:val="center"/>
        <w:outlineLvl w:val="0"/>
        <w:rPr>
          <w:rFonts w:ascii="仿宋" w:hAnsi="仿宋" w:eastAsia="仿宋" w:cs="仿宋"/>
          <w:b/>
          <w:bCs/>
          <w:sz w:val="44"/>
          <w:szCs w:val="44"/>
        </w:rPr>
      </w:pPr>
      <w:r>
        <w:rPr>
          <w:rFonts w:hint="eastAsia" w:ascii="仿宋" w:hAnsi="仿宋" w:eastAsia="仿宋" w:cs="仿宋"/>
          <w:b/>
          <w:bCs/>
          <w:sz w:val="44"/>
          <w:szCs w:val="44"/>
        </w:rPr>
        <w:t xml:space="preserve"> </w:t>
      </w:r>
      <w:bookmarkStart w:id="8" w:name="_Toc24824_WPSOffice_Level2"/>
      <w:bookmarkStart w:id="9" w:name="_Toc530044667"/>
      <w:bookmarkStart w:id="10" w:name="_Toc530045449"/>
      <w:bookmarkStart w:id="11" w:name="_Toc536603229"/>
      <w:bookmarkStart w:id="12" w:name="_Toc530045298"/>
      <w:r>
        <w:rPr>
          <w:rFonts w:hint="eastAsia" w:ascii="仿宋" w:hAnsi="仿宋" w:eastAsia="仿宋" w:cs="仿宋"/>
          <w:b/>
          <w:bCs/>
          <w:sz w:val="44"/>
          <w:szCs w:val="44"/>
        </w:rPr>
        <w:t>(第一部分)</w:t>
      </w:r>
      <w:bookmarkEnd w:id="8"/>
      <w:bookmarkEnd w:id="9"/>
      <w:bookmarkEnd w:id="10"/>
      <w:bookmarkEnd w:id="11"/>
      <w:bookmarkEnd w:id="12"/>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widowControl/>
        <w:spacing w:line="360" w:lineRule="auto"/>
        <w:jc w:val="left"/>
        <w:rPr>
          <w:rFonts w:ascii="仿宋" w:hAnsi="仿宋" w:eastAsia="仿宋" w:cs="仿宋"/>
          <w:bCs/>
          <w:sz w:val="24"/>
        </w:rPr>
      </w:pPr>
    </w:p>
    <w:p>
      <w:pPr>
        <w:pStyle w:val="29"/>
        <w:tabs>
          <w:tab w:val="right" w:leader="dot" w:pos="8730"/>
        </w:tabs>
        <w:spacing w:line="360" w:lineRule="auto"/>
      </w:pPr>
    </w:p>
    <w:p>
      <w:pPr>
        <w:pStyle w:val="22"/>
        <w:adjustRightInd w:val="0"/>
        <w:snapToGrid w:val="0"/>
        <w:spacing w:line="360" w:lineRule="auto"/>
        <w:rPr>
          <w:rFonts w:hAnsi="宋体"/>
          <w:bCs/>
          <w:sz w:val="28"/>
          <w:szCs w:val="28"/>
        </w:rPr>
      </w:pPr>
      <w:r>
        <w:rPr>
          <w:rFonts w:hint="eastAsia" w:hAnsi="宋体"/>
          <w:b/>
          <w:bCs/>
          <w:sz w:val="28"/>
          <w:szCs w:val="28"/>
        </w:rPr>
        <w:t xml:space="preserve"> </w:t>
      </w:r>
      <w:r>
        <w:rPr>
          <w:rFonts w:hint="eastAsia" w:hAnsi="宋体"/>
          <w:bCs/>
          <w:sz w:val="28"/>
          <w:szCs w:val="28"/>
        </w:rPr>
        <w:t xml:space="preserve"> </w:t>
      </w:r>
    </w:p>
    <w:p>
      <w:pPr>
        <w:pStyle w:val="22"/>
        <w:adjustRightInd w:val="0"/>
        <w:snapToGrid w:val="0"/>
        <w:spacing w:line="360" w:lineRule="auto"/>
        <w:rPr>
          <w:rFonts w:hAnsi="宋体"/>
          <w:bCs/>
          <w:sz w:val="28"/>
          <w:szCs w:val="28"/>
        </w:rPr>
      </w:pPr>
    </w:p>
    <w:p>
      <w:pPr>
        <w:pStyle w:val="22"/>
        <w:adjustRightInd w:val="0"/>
        <w:snapToGrid w:val="0"/>
        <w:spacing w:line="360" w:lineRule="auto"/>
        <w:rPr>
          <w:rFonts w:hAnsi="宋体"/>
          <w:b/>
          <w:sz w:val="44"/>
          <w:szCs w:val="44"/>
        </w:rPr>
      </w:pPr>
    </w:p>
    <w:p>
      <w:pPr>
        <w:pStyle w:val="22"/>
        <w:adjustRightInd w:val="0"/>
        <w:snapToGrid w:val="0"/>
        <w:spacing w:beforeLines="50" w:line="360" w:lineRule="auto"/>
        <w:jc w:val="center"/>
        <w:outlineLvl w:val="1"/>
        <w:rPr>
          <w:rFonts w:ascii="黑体" w:hAnsi="华文中宋" w:eastAsia="黑体"/>
          <w:b/>
          <w:spacing w:val="100"/>
          <w:sz w:val="32"/>
          <w:szCs w:val="32"/>
        </w:rPr>
      </w:pPr>
      <w:bookmarkStart w:id="13" w:name="_Toc28558_WPSOffice_Level1"/>
      <w:bookmarkStart w:id="14" w:name="_Toc536603230"/>
      <w:r>
        <w:rPr>
          <w:rFonts w:hint="eastAsia" w:ascii="黑体" w:hAnsi="华文中宋" w:eastAsia="黑体"/>
          <w:b/>
          <w:sz w:val="32"/>
          <w:szCs w:val="32"/>
        </w:rPr>
        <w:t>第一章 投标须知</w:t>
      </w:r>
      <w:bookmarkEnd w:id="13"/>
      <w:bookmarkEnd w:id="14"/>
    </w:p>
    <w:p>
      <w:pPr>
        <w:pStyle w:val="4"/>
        <w:rPr>
          <w:rFonts w:ascii="宋体" w:hAnsi="宋体"/>
          <w:sz w:val="21"/>
          <w:szCs w:val="21"/>
        </w:rPr>
      </w:pPr>
      <w:bookmarkStart w:id="15" w:name="_Toc8066_WPSOffice_Level2"/>
      <w:bookmarkStart w:id="16" w:name="_Toc536603231"/>
      <w:r>
        <w:rPr>
          <w:rFonts w:hint="eastAsia" w:ascii="宋体" w:hAnsi="宋体"/>
          <w:sz w:val="21"/>
          <w:szCs w:val="21"/>
        </w:rPr>
        <w:t>一、说明</w:t>
      </w:r>
      <w:bookmarkEnd w:id="15"/>
      <w:bookmarkEnd w:id="16"/>
    </w:p>
    <w:p>
      <w:pPr>
        <w:adjustRightInd w:val="0"/>
        <w:snapToGrid w:val="0"/>
        <w:spacing w:beforeLines="50" w:line="360" w:lineRule="auto"/>
        <w:rPr>
          <w:rFonts w:ascii="宋体" w:hAnsi="宋体"/>
          <w:b/>
          <w:bCs/>
          <w:szCs w:val="21"/>
        </w:rPr>
      </w:pPr>
      <w:bookmarkStart w:id="17" w:name="_Toc19634_WPSOffice_Level3"/>
      <w:r>
        <w:rPr>
          <w:rFonts w:hint="eastAsia" w:ascii="宋体" w:hAnsi="宋体"/>
          <w:b/>
          <w:bCs/>
          <w:szCs w:val="21"/>
        </w:rPr>
        <w:t>1.适用范围</w:t>
      </w:r>
      <w:bookmarkEnd w:id="17"/>
    </w:p>
    <w:p>
      <w:pPr>
        <w:adjustRightInd w:val="0"/>
        <w:snapToGrid w:val="0"/>
        <w:spacing w:beforeLines="50" w:line="360" w:lineRule="auto"/>
        <w:rPr>
          <w:rFonts w:ascii="宋体" w:hAnsi="宋体"/>
          <w:szCs w:val="21"/>
        </w:rPr>
      </w:pPr>
      <w:r>
        <w:rPr>
          <w:rFonts w:hint="eastAsia" w:ascii="宋体" w:hAnsi="宋体"/>
          <w:szCs w:val="21"/>
        </w:rPr>
        <w:t xml:space="preserve">    1.1本招标文件仅适用于第二部分第六章“招标文件前附表” (以下简称</w:t>
      </w:r>
      <w:r>
        <w:rPr>
          <w:rFonts w:hint="eastAsia" w:ascii="宋体" w:hAnsi="宋体"/>
          <w:b/>
          <w:szCs w:val="21"/>
        </w:rPr>
        <w:t>招标文件前附表</w:t>
      </w:r>
      <w:r>
        <w:rPr>
          <w:rFonts w:hint="eastAsia" w:ascii="宋体" w:hAnsi="宋体"/>
          <w:szCs w:val="21"/>
        </w:rPr>
        <w:t>)中所叙述的采购项目。</w:t>
      </w:r>
    </w:p>
    <w:p>
      <w:pPr>
        <w:adjustRightInd w:val="0"/>
        <w:snapToGrid w:val="0"/>
        <w:spacing w:beforeLines="50" w:line="360" w:lineRule="auto"/>
        <w:rPr>
          <w:rFonts w:ascii="宋体" w:hAnsi="宋体"/>
          <w:b/>
          <w:bCs/>
          <w:szCs w:val="21"/>
        </w:rPr>
      </w:pPr>
      <w:bookmarkStart w:id="18" w:name="_Toc23914_WPSOffice_Level3"/>
      <w:r>
        <w:rPr>
          <w:rFonts w:hint="eastAsia" w:ascii="宋体" w:hAnsi="宋体"/>
          <w:b/>
          <w:bCs/>
          <w:szCs w:val="21"/>
        </w:rPr>
        <w:t>2.定义</w:t>
      </w:r>
      <w:bookmarkEnd w:id="18"/>
    </w:p>
    <w:p>
      <w:pPr>
        <w:adjustRightInd w:val="0"/>
        <w:snapToGrid w:val="0"/>
        <w:spacing w:beforeLines="50" w:line="360" w:lineRule="auto"/>
        <w:ind w:firstLine="420"/>
        <w:rPr>
          <w:rFonts w:ascii="宋体" w:hAnsi="宋体"/>
          <w:szCs w:val="21"/>
        </w:rPr>
      </w:pPr>
      <w:r>
        <w:rPr>
          <w:rFonts w:hint="eastAsia" w:ascii="宋体" w:hAnsi="宋体"/>
          <w:szCs w:val="21"/>
        </w:rPr>
        <w:t>2.1 “采购人”系指依法进行政府采购的国家机关、事业单位、团体组织。本采购项目的采购人名称、地址、电话、联系人见</w:t>
      </w:r>
      <w:r>
        <w:rPr>
          <w:rFonts w:hint="eastAsia" w:ascii="宋体" w:hAnsi="宋体"/>
          <w:b/>
          <w:szCs w:val="21"/>
        </w:rPr>
        <w:t>招标文件前附表</w:t>
      </w:r>
      <w:r>
        <w:rPr>
          <w:rFonts w:hint="eastAsia" w:ascii="宋体" w:hAnsi="宋体"/>
          <w:szCs w:val="21"/>
        </w:rPr>
        <w:t>。</w:t>
      </w:r>
    </w:p>
    <w:p>
      <w:pPr>
        <w:adjustRightInd w:val="0"/>
        <w:snapToGrid w:val="0"/>
        <w:spacing w:beforeLines="50" w:line="360" w:lineRule="auto"/>
        <w:ind w:firstLine="420"/>
        <w:rPr>
          <w:rFonts w:ascii="宋体" w:hAnsi="宋体"/>
          <w:b/>
          <w:szCs w:val="21"/>
        </w:rPr>
      </w:pPr>
      <w:r>
        <w:rPr>
          <w:rFonts w:hint="eastAsia" w:ascii="宋体" w:hAnsi="宋体"/>
          <w:szCs w:val="21"/>
        </w:rPr>
        <w:t>2.2 “采购代理机构”系指接受采购人委托，代理采购项目的集中采购机构和经财政部门认定资格的其他采购代理机构。本采购项目的采购代理机构名称、地址、电话、联系人见</w:t>
      </w:r>
      <w:r>
        <w:rPr>
          <w:rFonts w:hint="eastAsia" w:ascii="宋体" w:hAnsi="宋体"/>
          <w:b/>
          <w:szCs w:val="21"/>
        </w:rPr>
        <w:t>招标文件前附表。</w:t>
      </w:r>
    </w:p>
    <w:p>
      <w:pPr>
        <w:adjustRightInd w:val="0"/>
        <w:snapToGrid w:val="0"/>
        <w:spacing w:line="360" w:lineRule="auto"/>
        <w:ind w:firstLine="420" w:firstLineChars="200"/>
        <w:rPr>
          <w:rFonts w:ascii="宋体" w:hAnsi="宋体"/>
          <w:szCs w:val="21"/>
        </w:rPr>
      </w:pPr>
      <w:r>
        <w:rPr>
          <w:rFonts w:hint="eastAsia" w:ascii="宋体" w:hAnsi="宋体"/>
          <w:szCs w:val="21"/>
        </w:rPr>
        <w:t>2.3 “投标人”系指响应招标、参加投标竞争的法人、其他组织或自然人。</w:t>
      </w:r>
    </w:p>
    <w:p>
      <w:pPr>
        <w:adjustRightInd w:val="0"/>
        <w:snapToGrid w:val="0"/>
        <w:spacing w:line="360" w:lineRule="auto"/>
        <w:ind w:firstLine="420" w:firstLineChars="200"/>
        <w:rPr>
          <w:rFonts w:ascii="宋体" w:hAnsi="宋体"/>
          <w:szCs w:val="21"/>
        </w:rPr>
      </w:pPr>
      <w:r>
        <w:rPr>
          <w:rFonts w:hint="eastAsia" w:ascii="宋体" w:hAnsi="宋体"/>
          <w:szCs w:val="21"/>
        </w:rPr>
        <w:t>2.4 “货物”系指投标人按招标文件要求，向采购人提供的各种形态和种类的物品，包括原材料、设备、产品（包括软件）及相关的其备品备件、工具、手册及其它技术资料和材料等。</w:t>
      </w:r>
    </w:p>
    <w:p>
      <w:pPr>
        <w:adjustRightInd w:val="0"/>
        <w:snapToGrid w:val="0"/>
        <w:spacing w:line="360" w:lineRule="auto"/>
        <w:ind w:firstLine="420" w:firstLineChars="200"/>
        <w:rPr>
          <w:rFonts w:ascii="宋体" w:hAnsi="宋体"/>
          <w:szCs w:val="21"/>
        </w:rPr>
      </w:pPr>
      <w:r>
        <w:rPr>
          <w:rFonts w:hint="eastAsia" w:ascii="宋体" w:hAnsi="宋体"/>
          <w:szCs w:val="21"/>
        </w:rPr>
        <w:t>2.5 “服务”系指招标文件规定投标人须承担的系统集成、安装、调试、技术协助、校准、培训以及其它类似的义务。</w:t>
      </w:r>
    </w:p>
    <w:p>
      <w:pPr>
        <w:adjustRightInd w:val="0"/>
        <w:snapToGrid w:val="0"/>
        <w:spacing w:beforeLines="50" w:line="360" w:lineRule="auto"/>
        <w:rPr>
          <w:rFonts w:ascii="宋体" w:hAnsi="宋体"/>
          <w:b/>
          <w:bCs/>
          <w:szCs w:val="21"/>
        </w:rPr>
      </w:pPr>
      <w:bookmarkStart w:id="19" w:name="_Toc13336_WPSOffice_Level3"/>
      <w:r>
        <w:rPr>
          <w:rFonts w:hint="eastAsia" w:ascii="宋体" w:hAnsi="宋体"/>
          <w:b/>
          <w:bCs/>
          <w:szCs w:val="21"/>
        </w:rPr>
        <w:t>3.</w:t>
      </w:r>
      <w:r>
        <w:rPr>
          <w:rFonts w:hint="eastAsia" w:ascii="宋体" w:hAnsi="宋体"/>
          <w:szCs w:val="21"/>
        </w:rPr>
        <w:t xml:space="preserve"> </w:t>
      </w:r>
      <w:r>
        <w:rPr>
          <w:rFonts w:hint="eastAsia" w:ascii="宋体" w:hAnsi="宋体"/>
          <w:b/>
          <w:bCs/>
          <w:szCs w:val="21"/>
        </w:rPr>
        <w:t>投标人的资格要求</w:t>
      </w:r>
      <w:bookmarkEnd w:id="19"/>
    </w:p>
    <w:p>
      <w:pPr>
        <w:adjustRightInd w:val="0"/>
        <w:snapToGrid w:val="0"/>
        <w:spacing w:beforeLines="50" w:line="360" w:lineRule="auto"/>
        <w:ind w:firstLine="420" w:firstLineChars="200"/>
        <w:rPr>
          <w:rFonts w:ascii="宋体" w:hAnsi="宋体"/>
          <w:szCs w:val="21"/>
        </w:rPr>
      </w:pPr>
      <w:r>
        <w:rPr>
          <w:rFonts w:hint="eastAsia" w:ascii="宋体" w:hAnsi="宋体"/>
          <w:szCs w:val="21"/>
        </w:rPr>
        <w:t>3.1投标人应当符合</w:t>
      </w:r>
      <w:r>
        <w:rPr>
          <w:rFonts w:hint="eastAsia" w:ascii="宋体" w:hAnsi="宋体"/>
          <w:b/>
          <w:szCs w:val="21"/>
        </w:rPr>
        <w:t>招标文件前附表</w:t>
      </w:r>
      <w:r>
        <w:rPr>
          <w:rFonts w:hint="eastAsia" w:ascii="宋体" w:hAnsi="宋体"/>
          <w:szCs w:val="21"/>
        </w:rPr>
        <w:t>中规定的下列资格条件要求：</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（l）</w:t>
      </w:r>
      <w:r>
        <w:rPr>
          <w:rFonts w:hint="eastAsia" w:ascii="宋体" w:hAnsi="宋体" w:cs="宋体"/>
          <w:kern w:val="0"/>
          <w:szCs w:val="21"/>
          <w:lang w:val="zh-CN"/>
        </w:rPr>
        <w:t>《政府采购法》第二十二条第一款规定的</w:t>
      </w:r>
      <w:r>
        <w:rPr>
          <w:rFonts w:hint="eastAsia" w:ascii="宋体" w:hAnsi="宋体"/>
          <w:szCs w:val="21"/>
        </w:rPr>
        <w:t>投标人基本资格条件</w:t>
      </w:r>
      <w:r>
        <w:rPr>
          <w:rFonts w:hint="eastAsia" w:ascii="宋体" w:hAnsi="宋体" w:cs="宋体"/>
          <w:kern w:val="0"/>
          <w:szCs w:val="21"/>
          <w:lang w:val="zh-CN"/>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（2）采购项目有特殊要求，招标文件</w:t>
      </w:r>
      <w:r>
        <w:rPr>
          <w:rFonts w:hint="eastAsia" w:ascii="宋体" w:hAnsi="宋体" w:cs="宋体"/>
          <w:kern w:val="0"/>
          <w:szCs w:val="21"/>
          <w:lang w:val="zh-CN"/>
        </w:rPr>
        <w:t>规定的</w:t>
      </w:r>
      <w:r>
        <w:rPr>
          <w:rFonts w:hint="eastAsia" w:ascii="宋体" w:hAnsi="宋体"/>
          <w:szCs w:val="21"/>
        </w:rPr>
        <w:t>投标人特定资格条件。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3.2投标人不得存在下列情形之一：</w:t>
      </w:r>
    </w:p>
    <w:p>
      <w:pPr>
        <w:adjustRightInd w:val="0"/>
        <w:snapToGrid w:val="0"/>
        <w:spacing w:line="360" w:lineRule="auto"/>
        <w:ind w:firstLine="420" w:firstLineChars="200"/>
        <w:rPr>
          <w:rFonts w:ascii="宋体" w:hAnsi="宋体"/>
          <w:szCs w:val="21"/>
        </w:rPr>
      </w:pPr>
      <w:r>
        <w:rPr>
          <w:rFonts w:hint="eastAsia" w:ascii="宋体" w:hAnsi="宋体"/>
          <w:szCs w:val="21"/>
        </w:rPr>
        <w:t>（l）与采购人或采购代理机构存在</w:t>
      </w:r>
      <w:r>
        <w:rPr>
          <w:rFonts w:hint="eastAsia" w:ascii="宋体" w:hAnsi="宋体"/>
          <w:bCs/>
          <w:szCs w:val="21"/>
        </w:rPr>
        <w:t>隶属关系或者其他利害关系</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（2）投标人或者其法定代表人、董事、监事、高级管理人员因经营活动中的违法行为受到行政处罚，但警告和罚款额在三万元以下的行政处罚除外；</w:t>
      </w:r>
    </w:p>
    <w:p>
      <w:pPr>
        <w:adjustRightInd w:val="0"/>
        <w:snapToGrid w:val="0"/>
        <w:spacing w:line="360" w:lineRule="auto"/>
        <w:ind w:firstLine="420" w:firstLineChars="200"/>
        <w:rPr>
          <w:rFonts w:ascii="宋体" w:hAnsi="宋体"/>
          <w:szCs w:val="21"/>
        </w:rPr>
      </w:pPr>
      <w:r>
        <w:rPr>
          <w:rFonts w:hint="eastAsia" w:ascii="宋体" w:hAnsi="宋体"/>
          <w:szCs w:val="21"/>
        </w:rPr>
        <w:t>（3）投标人或其法定代表人、董事、监事、高级管理人员因经营活动中的违法行为</w:t>
      </w:r>
      <w:r>
        <w:rPr>
          <w:rFonts w:hint="eastAsia" w:ascii="宋体" w:hAnsi="宋体"/>
          <w:bCs/>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szCs w:val="21"/>
        </w:rPr>
        <w:t>财政部门认定的其他重大违法记录；</w:t>
      </w:r>
    </w:p>
    <w:p>
      <w:pPr>
        <w:adjustRightInd w:val="0"/>
        <w:snapToGrid w:val="0"/>
        <w:spacing w:line="360" w:lineRule="auto"/>
        <w:ind w:firstLine="525" w:firstLineChars="250"/>
        <w:rPr>
          <w:rFonts w:ascii="宋体" w:hAnsi="宋体"/>
          <w:szCs w:val="21"/>
        </w:rPr>
      </w:pPr>
      <w:r>
        <w:rPr>
          <w:rFonts w:hint="eastAsia" w:ascii="宋体" w:hAnsi="宋体"/>
          <w:szCs w:val="21"/>
        </w:rPr>
        <w:t>3.3法定代表人或者负责人为同一人或者存在控股、管理关系的两个以上供应商，不得参加同一政府采购项目投标。</w:t>
      </w:r>
    </w:p>
    <w:p>
      <w:pPr>
        <w:adjustRightInd w:val="0"/>
        <w:snapToGrid w:val="0"/>
        <w:spacing w:beforeLines="50" w:line="360" w:lineRule="auto"/>
        <w:ind w:left="632" w:hanging="632" w:hangingChars="300"/>
        <w:rPr>
          <w:rFonts w:ascii="宋体" w:hAnsi="宋体"/>
          <w:b/>
          <w:bCs/>
          <w:szCs w:val="21"/>
        </w:rPr>
      </w:pPr>
      <w:bookmarkStart w:id="20" w:name="_Toc24699_WPSOffice_Level3"/>
      <w:r>
        <w:rPr>
          <w:rFonts w:hint="eastAsia" w:ascii="宋体" w:hAnsi="宋体"/>
          <w:b/>
          <w:bCs/>
          <w:szCs w:val="21"/>
        </w:rPr>
        <w:t>4.投标费用</w:t>
      </w:r>
      <w:bookmarkEnd w:id="20"/>
      <w:r>
        <w:rPr>
          <w:rFonts w:hint="eastAsia" w:ascii="宋体" w:hAnsi="宋体"/>
          <w:b/>
          <w:bCs/>
          <w:szCs w:val="21"/>
        </w:rPr>
        <w:t xml:space="preserve"> </w:t>
      </w:r>
    </w:p>
    <w:p>
      <w:pPr>
        <w:adjustRightInd w:val="0"/>
        <w:snapToGrid w:val="0"/>
        <w:spacing w:beforeLines="50" w:line="360" w:lineRule="auto"/>
        <w:rPr>
          <w:rFonts w:ascii="宋体" w:hAnsi="宋体"/>
          <w:szCs w:val="21"/>
        </w:rPr>
      </w:pPr>
      <w:r>
        <w:rPr>
          <w:rFonts w:hint="eastAsia" w:ascii="宋体" w:hAnsi="宋体"/>
          <w:szCs w:val="21"/>
        </w:rPr>
        <w:t xml:space="preserve">    4.1投标人应自行承担所有参与投标的相关费用，不论投标的结果如何，采购人或者采购代理机构均无义务和责任承担这些费用。</w:t>
      </w:r>
    </w:p>
    <w:p>
      <w:pPr>
        <w:pStyle w:val="22"/>
        <w:adjustRightInd w:val="0"/>
        <w:snapToGrid w:val="0"/>
        <w:spacing w:beforeLines="50" w:line="360" w:lineRule="auto"/>
        <w:rPr>
          <w:rFonts w:hAnsi="宋体"/>
          <w:b/>
          <w:bCs/>
        </w:rPr>
      </w:pPr>
      <w:bookmarkStart w:id="21" w:name="_Toc10552_WPSOffice_Level3"/>
      <w:r>
        <w:rPr>
          <w:rFonts w:hint="eastAsia" w:hAnsi="宋体"/>
          <w:b/>
          <w:bCs/>
        </w:rPr>
        <w:t>5.</w:t>
      </w:r>
      <w:r>
        <w:rPr>
          <w:rFonts w:hint="eastAsia" w:hAnsi="宋体"/>
          <w:b/>
        </w:rPr>
        <w:t xml:space="preserve"> 授权委托</w:t>
      </w:r>
      <w:bookmarkEnd w:id="21"/>
    </w:p>
    <w:p>
      <w:pPr>
        <w:pStyle w:val="22"/>
        <w:adjustRightInd w:val="0"/>
        <w:snapToGrid w:val="0"/>
        <w:spacing w:beforeLines="50" w:line="360" w:lineRule="auto"/>
        <w:ind w:firstLine="420" w:firstLineChars="200"/>
        <w:rPr>
          <w:rFonts w:hAnsi="宋体"/>
        </w:rPr>
      </w:pPr>
      <w:r>
        <w:rPr>
          <w:rFonts w:hint="eastAsia" w:hAnsi="宋体"/>
        </w:rPr>
        <w:t>5.1 投标人代表不是投标人的法定代表人，应持有授权委托书，并附法定代表人身份证明。</w:t>
      </w:r>
    </w:p>
    <w:p>
      <w:pPr>
        <w:pStyle w:val="22"/>
        <w:adjustRightInd w:val="0"/>
        <w:snapToGrid w:val="0"/>
        <w:spacing w:beforeLines="50" w:line="360" w:lineRule="auto"/>
        <w:rPr>
          <w:rFonts w:hAnsi="宋体"/>
          <w:b/>
        </w:rPr>
      </w:pPr>
      <w:bookmarkStart w:id="22" w:name="_Toc1985_WPSOffice_Level3"/>
      <w:r>
        <w:rPr>
          <w:rFonts w:hint="eastAsia" w:hAnsi="宋体"/>
          <w:b/>
        </w:rPr>
        <w:t>6．联合体投标</w:t>
      </w:r>
      <w:bookmarkEnd w:id="22"/>
    </w:p>
    <w:p>
      <w:pPr>
        <w:pStyle w:val="22"/>
        <w:adjustRightInd w:val="0"/>
        <w:snapToGrid w:val="0"/>
        <w:spacing w:beforeLines="50" w:line="360" w:lineRule="auto"/>
        <w:ind w:firstLine="420" w:firstLineChars="200"/>
        <w:rPr>
          <w:rFonts w:hAnsi="宋体"/>
        </w:rPr>
      </w:pPr>
      <w:r>
        <w:rPr>
          <w:rFonts w:hint="eastAsia" w:hAnsi="宋体"/>
        </w:rPr>
        <w:t>6.1除</w:t>
      </w:r>
      <w:r>
        <w:rPr>
          <w:rFonts w:hint="eastAsia" w:hAnsi="宋体"/>
          <w:b/>
        </w:rPr>
        <w:t>招标文件前附表</w:t>
      </w:r>
      <w:r>
        <w:rPr>
          <w:rFonts w:hint="eastAsia" w:hAnsi="宋体"/>
        </w:rPr>
        <w:t>另有规定，本采购项目不接受除</w:t>
      </w:r>
      <w:r>
        <w:rPr>
          <w:rFonts w:hint="eastAsia" w:hAnsi="宋体" w:cs="宋体"/>
          <w:kern w:val="0"/>
          <w:lang w:val="zh-CN"/>
        </w:rPr>
        <w:t>政府采购政策规定</w:t>
      </w:r>
      <w:r>
        <w:rPr>
          <w:rFonts w:hint="eastAsia" w:hAnsi="宋体"/>
          <w:spacing w:val="-6"/>
        </w:rPr>
        <w:t>以外的其他</w:t>
      </w:r>
      <w:r>
        <w:rPr>
          <w:rFonts w:hint="eastAsia" w:hAnsi="宋体"/>
        </w:rPr>
        <w:t>联合体投标。</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6.2本章第6.1</w:t>
      </w:r>
      <w:r>
        <w:rPr>
          <w:rFonts w:hint="eastAsia" w:ascii="宋体" w:hAnsi="宋体" w:cs="宋体"/>
          <w:kern w:val="0"/>
          <w:szCs w:val="21"/>
          <w:lang w:val="zh-CN"/>
        </w:rPr>
        <w:t>款</w:t>
      </w:r>
      <w:r>
        <w:rPr>
          <w:rFonts w:hint="eastAsia" w:ascii="宋体" w:hAnsi="宋体"/>
          <w:szCs w:val="21"/>
        </w:rPr>
        <w:t>规定投标人以联合体形式投标，除应符合本章第3.2</w:t>
      </w:r>
      <w:r>
        <w:rPr>
          <w:rFonts w:hint="eastAsia" w:ascii="宋体" w:hAnsi="宋体" w:cs="宋体"/>
          <w:kern w:val="0"/>
          <w:szCs w:val="21"/>
          <w:lang w:val="zh-CN"/>
        </w:rPr>
        <w:t>款</w:t>
      </w:r>
      <w:r>
        <w:rPr>
          <w:rFonts w:hint="eastAsia" w:ascii="宋体" w:hAnsi="宋体"/>
          <w:szCs w:val="21"/>
        </w:rPr>
        <w:t>、第3.3</w:t>
      </w:r>
      <w:r>
        <w:rPr>
          <w:rFonts w:hint="eastAsia" w:ascii="宋体" w:hAnsi="宋体" w:cs="宋体"/>
          <w:kern w:val="0"/>
          <w:szCs w:val="21"/>
          <w:lang w:val="zh-CN"/>
        </w:rPr>
        <w:t>款</w:t>
      </w:r>
      <w:r>
        <w:rPr>
          <w:rFonts w:hint="eastAsia" w:ascii="宋体" w:hAnsi="宋体"/>
          <w:szCs w:val="21"/>
        </w:rPr>
        <w:t xml:space="preserve">规定外，还应遵守以下规定： </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（l）联合体各方应按招标文件提供的格式签订联合体协议书，明确联合体牵头人和各方的权利义务、合同工作量比例；</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（2）联合体各方均应当符合本章第3.1</w:t>
      </w:r>
      <w:r>
        <w:rPr>
          <w:rFonts w:hint="eastAsia" w:ascii="宋体" w:hAnsi="宋体" w:cs="宋体"/>
          <w:kern w:val="0"/>
          <w:szCs w:val="21"/>
          <w:lang w:val="zh-CN"/>
        </w:rPr>
        <w:t>款</w:t>
      </w:r>
      <w:r>
        <w:rPr>
          <w:rFonts w:hint="eastAsia" w:ascii="宋体" w:hAnsi="宋体"/>
          <w:szCs w:val="21"/>
        </w:rPr>
        <w:t>规定的供应商基本资格条件；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（3）联合体各方中至少应当有一方符合本章第3.1</w:t>
      </w:r>
      <w:r>
        <w:rPr>
          <w:rFonts w:hint="eastAsia" w:ascii="宋体" w:hAnsi="宋体" w:cs="宋体"/>
          <w:kern w:val="0"/>
          <w:szCs w:val="21"/>
          <w:lang w:val="zh-CN"/>
        </w:rPr>
        <w:t>款</w:t>
      </w:r>
      <w:r>
        <w:rPr>
          <w:rFonts w:hint="eastAsia" w:ascii="宋体" w:hAnsi="宋体"/>
          <w:szCs w:val="21"/>
        </w:rPr>
        <w:t>规定的供应商特定资格条件；</w:t>
      </w:r>
    </w:p>
    <w:p>
      <w:pPr>
        <w:adjustRightInd w:val="0"/>
        <w:snapToGrid w:val="0"/>
        <w:spacing w:beforeLines="50" w:line="360" w:lineRule="auto"/>
        <w:ind w:firstLine="420" w:firstLineChars="200"/>
        <w:jc w:val="left"/>
        <w:rPr>
          <w:rFonts w:ascii="宋体" w:hAnsi="宋体" w:cs="宋体"/>
          <w:kern w:val="0"/>
          <w:szCs w:val="21"/>
          <w:lang w:val="zh-CN"/>
        </w:rPr>
      </w:pPr>
      <w:r>
        <w:rPr>
          <w:rFonts w:hint="eastAsia" w:ascii="宋体" w:hAnsi="宋体"/>
          <w:szCs w:val="21"/>
        </w:rPr>
        <w:t>（4）联合体各方签订联合体协议书后，</w:t>
      </w:r>
      <w:r>
        <w:rPr>
          <w:rFonts w:hint="eastAsia" w:ascii="宋体" w:hAnsi="宋体" w:cs="宋体"/>
          <w:kern w:val="0"/>
          <w:szCs w:val="21"/>
          <w:lang w:val="zh-CN"/>
        </w:rPr>
        <w:t>不得再单独参加或者与其他供应商组成新的联合体参加同一项目的采购活动。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（5）联合体</w:t>
      </w:r>
      <w:r>
        <w:rPr>
          <w:rFonts w:hint="eastAsia" w:ascii="宋体" w:hAnsi="宋体" w:cs="Arial"/>
          <w:kern w:val="0"/>
          <w:szCs w:val="21"/>
        </w:rPr>
        <w:t>牵头方</w:t>
      </w:r>
      <w:r>
        <w:rPr>
          <w:rFonts w:hint="eastAsia" w:ascii="宋体" w:hAnsi="宋体"/>
          <w:szCs w:val="21"/>
        </w:rPr>
        <w:t>应当符合本章第3.1</w:t>
      </w:r>
      <w:r>
        <w:rPr>
          <w:rFonts w:hint="eastAsia" w:ascii="宋体" w:hAnsi="宋体" w:cs="宋体"/>
          <w:kern w:val="0"/>
          <w:szCs w:val="21"/>
          <w:lang w:val="zh-CN"/>
        </w:rPr>
        <w:t>款</w:t>
      </w:r>
      <w:r>
        <w:rPr>
          <w:rFonts w:hint="eastAsia" w:ascii="宋体" w:hAnsi="宋体"/>
          <w:szCs w:val="21"/>
        </w:rPr>
        <w:t>规定的供应商资格条件。</w:t>
      </w:r>
    </w:p>
    <w:p>
      <w:pPr>
        <w:adjustRightInd w:val="0"/>
        <w:snapToGrid w:val="0"/>
        <w:spacing w:beforeLines="50" w:line="360" w:lineRule="auto"/>
        <w:jc w:val="left"/>
        <w:rPr>
          <w:rFonts w:ascii="宋体" w:hAnsi="宋体"/>
          <w:b/>
          <w:szCs w:val="21"/>
        </w:rPr>
      </w:pPr>
      <w:bookmarkStart w:id="23" w:name="_Toc6810_WPSOffice_Level3"/>
      <w:r>
        <w:rPr>
          <w:rFonts w:hint="eastAsia" w:ascii="宋体" w:hAnsi="宋体"/>
          <w:b/>
          <w:szCs w:val="21"/>
        </w:rPr>
        <w:t>7.采购进口产品</w:t>
      </w:r>
      <w:bookmarkEnd w:id="23"/>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szCs w:val="21"/>
        </w:rPr>
        <w:t>7.1除</w:t>
      </w:r>
      <w:r>
        <w:rPr>
          <w:rFonts w:hint="eastAsia" w:ascii="宋体" w:hAnsi="宋体"/>
          <w:b/>
          <w:szCs w:val="21"/>
        </w:rPr>
        <w:t>招标文件前附表</w:t>
      </w:r>
      <w:r>
        <w:rPr>
          <w:rFonts w:hint="eastAsia" w:ascii="宋体" w:hAnsi="宋体"/>
          <w:szCs w:val="21"/>
        </w:rPr>
        <w:t>另有规定外，本采购项目</w:t>
      </w:r>
      <w:r>
        <w:rPr>
          <w:rFonts w:hint="eastAsia" w:ascii="宋体" w:hAnsi="宋体" w:cs="宋体"/>
          <w:kern w:val="0"/>
          <w:szCs w:val="21"/>
        </w:rPr>
        <w:t>拒绝进口产品参加投标。</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7.2</w:t>
      </w:r>
      <w:r>
        <w:rPr>
          <w:rFonts w:hint="eastAsia" w:ascii="宋体" w:hAnsi="宋体"/>
          <w:szCs w:val="21"/>
        </w:rPr>
        <w:t>本章第7.1</w:t>
      </w:r>
      <w:r>
        <w:rPr>
          <w:rFonts w:hint="eastAsia" w:ascii="宋体" w:hAnsi="宋体" w:cs="宋体"/>
          <w:kern w:val="0"/>
          <w:szCs w:val="21"/>
          <w:lang w:val="zh-CN"/>
        </w:rPr>
        <w:t>款</w:t>
      </w:r>
      <w:r>
        <w:rPr>
          <w:rFonts w:hint="eastAsia" w:ascii="宋体" w:hAnsi="宋体"/>
          <w:szCs w:val="21"/>
        </w:rPr>
        <w:t>规定</w:t>
      </w:r>
      <w:r>
        <w:rPr>
          <w:rFonts w:ascii="宋体" w:hAnsi="宋体" w:cs="宋体"/>
          <w:kern w:val="0"/>
          <w:szCs w:val="21"/>
        </w:rPr>
        <w:t>同意购买进口产品的</w:t>
      </w:r>
      <w:r>
        <w:rPr>
          <w:rFonts w:hint="eastAsia" w:ascii="宋体" w:hAnsi="宋体" w:cs="宋体"/>
          <w:kern w:val="0"/>
          <w:szCs w:val="21"/>
        </w:rPr>
        <w:t>，不</w:t>
      </w:r>
      <w:r>
        <w:rPr>
          <w:rFonts w:ascii="宋体" w:hAnsi="宋体" w:cs="宋体"/>
          <w:kern w:val="0"/>
          <w:szCs w:val="21"/>
        </w:rPr>
        <w:t>限制满足</w:t>
      </w:r>
      <w:r>
        <w:rPr>
          <w:rFonts w:hint="eastAsia" w:ascii="宋体" w:hAnsi="宋体"/>
          <w:szCs w:val="21"/>
        </w:rPr>
        <w:t>招标文件要求</w:t>
      </w:r>
      <w:r>
        <w:rPr>
          <w:rFonts w:ascii="宋体" w:hAnsi="宋体" w:cs="宋体"/>
          <w:kern w:val="0"/>
          <w:szCs w:val="21"/>
        </w:rPr>
        <w:t>的国内产品参与</w:t>
      </w:r>
      <w:r>
        <w:rPr>
          <w:rFonts w:hint="eastAsia" w:ascii="宋体" w:hAnsi="宋体" w:cs="宋体"/>
          <w:kern w:val="0"/>
          <w:szCs w:val="21"/>
        </w:rPr>
        <w:t>投标</w:t>
      </w:r>
      <w:r>
        <w:rPr>
          <w:rFonts w:ascii="宋体" w:hAnsi="宋体" w:cs="宋体"/>
          <w:kern w:val="0"/>
          <w:szCs w:val="21"/>
        </w:rPr>
        <w:t>竞争</w:t>
      </w:r>
      <w:r>
        <w:rPr>
          <w:rFonts w:hint="eastAsia" w:ascii="宋体" w:hAnsi="宋体" w:cs="宋体"/>
          <w:kern w:val="0"/>
          <w:szCs w:val="21"/>
        </w:rPr>
        <w:t>的</w:t>
      </w:r>
      <w:r>
        <w:rPr>
          <w:rFonts w:ascii="宋体" w:hAnsi="宋体" w:cs="宋体"/>
          <w:kern w:val="0"/>
          <w:szCs w:val="21"/>
        </w:rPr>
        <w:t>。</w:t>
      </w:r>
    </w:p>
    <w:p>
      <w:pPr>
        <w:pStyle w:val="4"/>
        <w:rPr>
          <w:rFonts w:ascii="宋体" w:hAnsi="宋体"/>
          <w:sz w:val="21"/>
          <w:szCs w:val="21"/>
        </w:rPr>
      </w:pPr>
      <w:bookmarkStart w:id="24" w:name="_Toc536603232"/>
      <w:bookmarkStart w:id="25" w:name="_Toc3233_WPSOffice_Level2"/>
      <w:r>
        <w:rPr>
          <w:rFonts w:hint="eastAsia" w:ascii="宋体" w:hAnsi="宋体"/>
          <w:sz w:val="21"/>
          <w:szCs w:val="21"/>
        </w:rPr>
        <w:t>二、招标文件</w:t>
      </w:r>
      <w:bookmarkEnd w:id="24"/>
      <w:bookmarkEnd w:id="25"/>
    </w:p>
    <w:p>
      <w:pPr>
        <w:adjustRightInd w:val="0"/>
        <w:snapToGrid w:val="0"/>
        <w:spacing w:beforeLines="50" w:line="360" w:lineRule="auto"/>
        <w:rPr>
          <w:rFonts w:ascii="宋体" w:hAnsi="宋体"/>
          <w:b/>
          <w:bCs/>
          <w:szCs w:val="21"/>
        </w:rPr>
      </w:pPr>
      <w:bookmarkStart w:id="26" w:name="_Toc21767_WPSOffice_Level3"/>
      <w:r>
        <w:rPr>
          <w:rFonts w:hint="eastAsia" w:ascii="宋体" w:hAnsi="宋体"/>
          <w:b/>
          <w:bCs/>
          <w:szCs w:val="21"/>
        </w:rPr>
        <w:t>8.招标文件的构成</w:t>
      </w:r>
      <w:bookmarkEnd w:id="26"/>
    </w:p>
    <w:p>
      <w:pPr>
        <w:adjustRightInd w:val="0"/>
        <w:snapToGrid w:val="0"/>
        <w:spacing w:beforeLines="50" w:line="360" w:lineRule="auto"/>
        <w:ind w:firstLine="420" w:firstLineChars="200"/>
        <w:rPr>
          <w:rFonts w:ascii="宋体" w:hAnsi="宋体"/>
          <w:szCs w:val="21"/>
        </w:rPr>
      </w:pPr>
      <w:r>
        <w:rPr>
          <w:rFonts w:hint="eastAsia" w:ascii="宋体" w:hAnsi="宋体"/>
          <w:szCs w:val="21"/>
        </w:rPr>
        <w:t>8.1 招标文件共八章，分两部分。各部分的内容如下：</w:t>
      </w:r>
    </w:p>
    <w:p>
      <w:pPr>
        <w:adjustRightInd w:val="0"/>
        <w:snapToGrid w:val="0"/>
        <w:spacing w:beforeLines="50" w:line="360" w:lineRule="auto"/>
        <w:ind w:firstLine="422" w:firstLineChars="200"/>
        <w:rPr>
          <w:rFonts w:ascii="宋体" w:hAnsi="宋体"/>
          <w:b/>
          <w:bCs/>
          <w:szCs w:val="21"/>
        </w:rPr>
      </w:pPr>
      <w:r>
        <w:rPr>
          <w:rFonts w:hint="eastAsia" w:ascii="宋体" w:hAnsi="宋体"/>
          <w:b/>
          <w:bCs/>
          <w:szCs w:val="21"/>
        </w:rPr>
        <w:t>第一部分</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第一章：投标须知</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第二章：评标方法及标准</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第三章：政府采购合同格式条款</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第四章：政府采购合同协议书</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第五章：投标文件的组成</w:t>
      </w:r>
    </w:p>
    <w:p>
      <w:pPr>
        <w:adjustRightInd w:val="0"/>
        <w:snapToGrid w:val="0"/>
        <w:spacing w:beforeLines="50" w:line="360" w:lineRule="auto"/>
        <w:ind w:firstLine="422" w:firstLineChars="200"/>
        <w:rPr>
          <w:rFonts w:ascii="宋体" w:hAnsi="宋体"/>
          <w:b/>
          <w:bCs/>
          <w:szCs w:val="21"/>
        </w:rPr>
      </w:pPr>
      <w:r>
        <w:rPr>
          <w:rFonts w:hint="eastAsia" w:ascii="宋体" w:hAnsi="宋体"/>
          <w:b/>
          <w:bCs/>
          <w:szCs w:val="21"/>
        </w:rPr>
        <w:t>第二部分</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第六章：招标文件前附表</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第七章：投标邀请</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第八章：采购需求</w:t>
      </w:r>
    </w:p>
    <w:p>
      <w:pPr>
        <w:adjustRightInd w:val="0"/>
        <w:snapToGrid w:val="0"/>
        <w:spacing w:beforeLines="50" w:line="360" w:lineRule="auto"/>
        <w:ind w:firstLine="420" w:firstLineChars="200"/>
        <w:rPr>
          <w:rFonts w:ascii="宋体" w:hAnsi="宋体" w:cs="宋体"/>
          <w:b/>
          <w:szCs w:val="21"/>
        </w:rPr>
      </w:pPr>
      <w:r>
        <w:rPr>
          <w:rFonts w:hint="eastAsia" w:ascii="宋体" w:hAnsi="宋体"/>
          <w:szCs w:val="21"/>
        </w:rPr>
        <w:t>8.2</w:t>
      </w:r>
      <w:r>
        <w:rPr>
          <w:rFonts w:hint="eastAsia" w:ascii="宋体" w:hAnsi="宋体" w:cs="宋体"/>
          <w:szCs w:val="21"/>
        </w:rPr>
        <w:t>本章第11.1</w:t>
      </w:r>
      <w:r>
        <w:rPr>
          <w:rFonts w:hint="eastAsia" w:ascii="宋体" w:hAnsi="宋体" w:cs="宋体"/>
          <w:kern w:val="0"/>
          <w:szCs w:val="21"/>
          <w:lang w:val="zh-CN"/>
        </w:rPr>
        <w:t>款</w:t>
      </w:r>
      <w:r>
        <w:rPr>
          <w:rFonts w:hint="eastAsia" w:ascii="宋体" w:hAnsi="宋体" w:cs="宋体"/>
          <w:szCs w:val="21"/>
        </w:rPr>
        <w:t>对招标文件所作的澄清、修改，构成招标文件的组成部分。</w:t>
      </w:r>
    </w:p>
    <w:p>
      <w:pPr>
        <w:adjustRightInd w:val="0"/>
        <w:snapToGrid w:val="0"/>
        <w:spacing w:beforeLines="50" w:line="360" w:lineRule="auto"/>
        <w:ind w:firstLine="420" w:firstLineChars="200"/>
        <w:rPr>
          <w:rFonts w:ascii="宋体" w:hAnsi="宋体" w:cs="宋体"/>
          <w:szCs w:val="21"/>
        </w:rPr>
      </w:pPr>
      <w:r>
        <w:rPr>
          <w:rFonts w:hint="eastAsia" w:ascii="宋体" w:hAnsi="宋体" w:cs="宋体"/>
          <w:szCs w:val="21"/>
        </w:rPr>
        <w:t>8.3采购代理机构发售的纸质招标文件与在财政部门指定的媒体上发布的电子招标文件具有同等的法律效力。财政部门指定的媒体见</w:t>
      </w:r>
      <w:r>
        <w:rPr>
          <w:rFonts w:hint="eastAsia" w:ascii="宋体" w:hAnsi="宋体" w:cs="宋体"/>
          <w:b/>
          <w:szCs w:val="21"/>
        </w:rPr>
        <w:t>招标文件前附表</w:t>
      </w:r>
      <w:r>
        <w:rPr>
          <w:rFonts w:hint="eastAsia" w:ascii="宋体" w:hAnsi="宋体" w:cs="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cs="宋体"/>
          <w:szCs w:val="21"/>
        </w:rPr>
        <w:t>8.4</w:t>
      </w:r>
      <w:r>
        <w:rPr>
          <w:rFonts w:hint="eastAsia" w:ascii="宋体" w:hAnsi="宋体"/>
          <w:szCs w:val="21"/>
        </w:rPr>
        <w:t>投标人应仔细阅读招标文件的全部内容，按照招标文件要求编制投标文件。任何对招标文件的忽略或误解不能作为投标文件存在缺陷或瑕疵的理由，其风险由投标人承担。</w:t>
      </w:r>
    </w:p>
    <w:p>
      <w:pPr>
        <w:pStyle w:val="22"/>
        <w:adjustRightInd w:val="0"/>
        <w:snapToGrid w:val="0"/>
        <w:spacing w:beforeLines="50" w:line="360" w:lineRule="auto"/>
        <w:rPr>
          <w:rFonts w:hAnsi="宋体"/>
          <w:b/>
        </w:rPr>
      </w:pPr>
      <w:bookmarkStart w:id="27" w:name="_Toc1492_WPSOffice_Level3"/>
      <w:r>
        <w:rPr>
          <w:rFonts w:hint="eastAsia" w:hAnsi="宋体"/>
          <w:b/>
        </w:rPr>
        <w:t>9.招标文件的提供期限</w:t>
      </w:r>
      <w:bookmarkEnd w:id="27"/>
    </w:p>
    <w:p>
      <w:pPr>
        <w:spacing w:line="400" w:lineRule="exact"/>
        <w:ind w:firstLine="420" w:firstLineChars="200"/>
        <w:rPr>
          <w:rFonts w:ascii="宋体" w:hAnsi="宋体"/>
          <w:szCs w:val="21"/>
        </w:rPr>
      </w:pPr>
      <w:r>
        <w:rPr>
          <w:rFonts w:hint="eastAsia" w:ascii="宋体" w:hAnsi="宋体"/>
          <w:szCs w:val="21"/>
        </w:rPr>
        <w:t>9.1招标文件的提供期限自开始发出之日起不得少于五个工作日。具体提供期限见</w:t>
      </w:r>
      <w:r>
        <w:rPr>
          <w:rFonts w:hint="eastAsia" w:ascii="宋体" w:hAnsi="宋体"/>
          <w:b/>
          <w:szCs w:val="21"/>
        </w:rPr>
        <w:t>招标文件前附表</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9.2供应商应按</w:t>
      </w:r>
      <w:r>
        <w:rPr>
          <w:rFonts w:hint="eastAsia" w:ascii="宋体" w:hAnsi="宋体"/>
          <w:b/>
          <w:szCs w:val="21"/>
        </w:rPr>
        <w:t>招标文件前附表</w:t>
      </w:r>
      <w:r>
        <w:rPr>
          <w:rFonts w:hint="eastAsia" w:ascii="宋体" w:hAnsi="宋体"/>
          <w:szCs w:val="21"/>
        </w:rPr>
        <w:t>规定的要求和方式购买招标文件。</w:t>
      </w:r>
    </w:p>
    <w:p>
      <w:pPr>
        <w:spacing w:line="400" w:lineRule="exact"/>
        <w:ind w:firstLine="420" w:firstLineChars="200"/>
        <w:rPr>
          <w:rFonts w:hAnsi="宋体"/>
        </w:rPr>
      </w:pPr>
      <w:r>
        <w:rPr>
          <w:rFonts w:hint="eastAsia" w:ascii="宋体" w:hAnsi="宋体"/>
          <w:bCs/>
          <w:szCs w:val="21"/>
        </w:rPr>
        <w:t>9.2</w:t>
      </w:r>
      <w:r>
        <w:rPr>
          <w:rFonts w:hint="eastAsia"/>
          <w:bCs/>
          <w:szCs w:val="21"/>
        </w:rPr>
        <w:t>凡符合资格要求并有意参加投标的供应商,</w:t>
      </w:r>
      <w:r>
        <w:rPr>
          <w:rFonts w:hint="eastAsia"/>
          <w:szCs w:val="21"/>
        </w:rPr>
        <w:t xml:space="preserve"> 登录</w:t>
      </w:r>
      <w:r>
        <w:rPr>
          <w:rFonts w:hint="eastAsia" w:hAnsi="宋体" w:cs="宋体"/>
          <w:b/>
        </w:rPr>
        <w:t>招标文件前附表</w:t>
      </w:r>
      <w:r>
        <w:rPr>
          <w:rFonts w:hint="eastAsia" w:hAnsi="宋体" w:cs="宋体"/>
        </w:rPr>
        <w:t>指定的信息公告媒体</w:t>
      </w:r>
      <w:r>
        <w:rPr>
          <w:rFonts w:hint="eastAsia"/>
          <w:szCs w:val="21"/>
        </w:rPr>
        <w:t>下载招标文件，</w:t>
      </w:r>
      <w:r>
        <w:rPr>
          <w:rFonts w:hint="eastAsia" w:hAnsi="宋体"/>
        </w:rPr>
        <w:t>指定的媒体名称见</w:t>
      </w:r>
      <w:r>
        <w:rPr>
          <w:rFonts w:hint="eastAsia" w:hAnsi="宋体"/>
          <w:b/>
        </w:rPr>
        <w:t>招标文件前附表</w:t>
      </w:r>
      <w:r>
        <w:rPr>
          <w:rFonts w:hint="eastAsia" w:hAnsi="宋体"/>
        </w:rPr>
        <w:t>。</w:t>
      </w:r>
    </w:p>
    <w:p>
      <w:pPr>
        <w:spacing w:line="400" w:lineRule="exact"/>
        <w:ind w:firstLine="420" w:firstLineChars="200"/>
        <w:rPr>
          <w:rFonts w:ascii="宋体" w:hAnsi="宋体"/>
          <w:bCs/>
          <w:szCs w:val="21"/>
        </w:rPr>
      </w:pPr>
      <w:r>
        <w:rPr>
          <w:rFonts w:hint="eastAsia" w:ascii="宋体" w:hAnsi="宋体"/>
          <w:bCs/>
          <w:szCs w:val="21"/>
        </w:rPr>
        <w:t>9.3招标文件的提供期限截止时，购买招标文件的投标人少于三家，采购代理机构可以延长招标文件的提供期限或者不再限制提供期限，或者修改招标文件，重新发布招标公告。延长招标文件的提供期限或者不再限制提供期限的，遵守本章第11.1款关于招标文件修改的规定。</w:t>
      </w:r>
    </w:p>
    <w:p>
      <w:pPr>
        <w:pStyle w:val="22"/>
        <w:tabs>
          <w:tab w:val="center" w:pos="4422"/>
        </w:tabs>
        <w:adjustRightInd w:val="0"/>
        <w:snapToGrid w:val="0"/>
        <w:spacing w:beforeLines="50" w:line="360" w:lineRule="auto"/>
        <w:rPr>
          <w:rFonts w:hAnsi="宋体"/>
          <w:b/>
        </w:rPr>
      </w:pPr>
      <w:bookmarkStart w:id="28" w:name="_Toc25884_WPSOffice_Level3"/>
      <w:r>
        <w:rPr>
          <w:rFonts w:hint="eastAsia" w:hAnsi="宋体"/>
          <w:b/>
        </w:rPr>
        <w:t>10．偏离</w:t>
      </w:r>
      <w:bookmarkEnd w:id="28"/>
      <w:r>
        <w:rPr>
          <w:rFonts w:hAnsi="宋体"/>
          <w:b/>
        </w:rPr>
        <w:tab/>
      </w:r>
    </w:p>
    <w:p>
      <w:pPr>
        <w:pStyle w:val="37"/>
        <w:adjustRightInd w:val="0"/>
        <w:snapToGrid w:val="0"/>
        <w:spacing w:before="0" w:beforeAutospacing="0" w:after="0" w:afterAutospacing="0" w:line="360" w:lineRule="auto"/>
        <w:ind w:right="97" w:rightChars="46" w:firstLine="420" w:firstLineChars="200"/>
        <w:jc w:val="both"/>
        <w:rPr>
          <w:sz w:val="21"/>
          <w:szCs w:val="21"/>
        </w:rPr>
      </w:pPr>
      <w:r>
        <w:rPr>
          <w:rFonts w:hint="eastAsia"/>
          <w:bCs/>
          <w:sz w:val="21"/>
          <w:szCs w:val="21"/>
        </w:rPr>
        <w:t>10.1本条所称</w:t>
      </w:r>
      <w:r>
        <w:rPr>
          <w:rFonts w:hint="eastAsia"/>
          <w:sz w:val="21"/>
          <w:szCs w:val="21"/>
        </w:rPr>
        <w:t>偏离为</w:t>
      </w:r>
      <w:r>
        <w:rPr>
          <w:rFonts w:hint="eastAsia"/>
          <w:bCs/>
          <w:sz w:val="21"/>
          <w:szCs w:val="21"/>
        </w:rPr>
        <w:t>投标文件</w:t>
      </w:r>
      <w:r>
        <w:rPr>
          <w:rFonts w:hint="eastAsia"/>
          <w:sz w:val="21"/>
          <w:szCs w:val="21"/>
        </w:rPr>
        <w:t>对招标文件的偏离，即不满足、或不响应招标文件的要求。偏离分为对招标文件的实质性要求条款偏离和对招标文件的一般商务</w:t>
      </w:r>
      <w:r>
        <w:rPr>
          <w:rFonts w:hint="eastAsia"/>
          <w:spacing w:val="4"/>
          <w:sz w:val="21"/>
          <w:szCs w:val="21"/>
        </w:rPr>
        <w:t>和</w:t>
      </w:r>
      <w:r>
        <w:rPr>
          <w:rFonts w:hint="eastAsia"/>
          <w:sz w:val="21"/>
          <w:szCs w:val="21"/>
        </w:rPr>
        <w:t>技术条款（参数）偏离。</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bCs/>
          <w:szCs w:val="21"/>
        </w:rPr>
        <w:t>10.2除法律、法规和规章规定外，</w:t>
      </w:r>
      <w:r>
        <w:rPr>
          <w:rFonts w:hint="eastAsia" w:ascii="宋体" w:hAnsi="宋体"/>
          <w:szCs w:val="21"/>
        </w:rPr>
        <w:t>招标文件中用“拒绝”、“不接受”、“无效”、“不得”等文字规定或标注“★”符号的条款为实质性要求条款（即重要条款），对其中任何一条的偏离，在评标时将其视为无效投标。未用上述文字规定或符号标注的条款为非实质性要求条款(即一般条款)。</w:t>
      </w:r>
    </w:p>
    <w:p>
      <w:pPr>
        <w:tabs>
          <w:tab w:val="left" w:pos="0"/>
        </w:tabs>
        <w:adjustRightInd w:val="0"/>
        <w:snapToGrid w:val="0"/>
        <w:spacing w:beforeLines="50" w:line="360" w:lineRule="auto"/>
        <w:ind w:firstLine="420" w:firstLineChars="200"/>
        <w:rPr>
          <w:rFonts w:ascii="宋体" w:hAnsi="宋体"/>
          <w:b/>
          <w:szCs w:val="21"/>
        </w:rPr>
      </w:pPr>
      <w:r>
        <w:rPr>
          <w:rFonts w:hint="eastAsia" w:ascii="宋体" w:hAnsi="宋体"/>
          <w:szCs w:val="21"/>
        </w:rPr>
        <w:t>10.3第六章“招标文件前附表”中“政府采购合同格式条款(前附表)”和第八章“采购需求”中的一般商务</w:t>
      </w:r>
      <w:r>
        <w:rPr>
          <w:rFonts w:hint="eastAsia" w:ascii="宋体" w:hAnsi="宋体"/>
          <w:spacing w:val="4"/>
          <w:szCs w:val="21"/>
        </w:rPr>
        <w:t>和</w:t>
      </w:r>
      <w:r>
        <w:rPr>
          <w:rFonts w:hint="eastAsia" w:ascii="宋体" w:hAnsi="宋体"/>
          <w:szCs w:val="21"/>
        </w:rPr>
        <w:t>技术条款（参数），</w:t>
      </w:r>
      <w:r>
        <w:rPr>
          <w:rFonts w:hint="eastAsia" w:ascii="宋体" w:hAnsi="宋体"/>
        </w:rPr>
        <w:t>在</w:t>
      </w:r>
      <w:r>
        <w:rPr>
          <w:rFonts w:hint="eastAsia" w:ascii="宋体" w:hAnsi="宋体"/>
          <w:szCs w:val="21"/>
        </w:rPr>
        <w:t>超出允许偏离的条款数（最高项数）时，在评标时将其视为无效投标。前述章节中一般商务</w:t>
      </w:r>
      <w:r>
        <w:rPr>
          <w:rFonts w:hint="eastAsia" w:ascii="宋体" w:hAnsi="宋体"/>
          <w:spacing w:val="4"/>
          <w:szCs w:val="21"/>
        </w:rPr>
        <w:t>和</w:t>
      </w:r>
      <w:r>
        <w:rPr>
          <w:rFonts w:hint="eastAsia" w:ascii="宋体" w:hAnsi="宋体"/>
          <w:szCs w:val="21"/>
        </w:rPr>
        <w:t>技术条款允许偏离的最高项数见</w:t>
      </w:r>
      <w:r>
        <w:rPr>
          <w:rFonts w:hint="eastAsia" w:ascii="宋体" w:hAnsi="宋体"/>
          <w:b/>
          <w:szCs w:val="21"/>
        </w:rPr>
        <w:t>招标文件前附表。</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10.4本章第10.3</w:t>
      </w:r>
      <w:r>
        <w:rPr>
          <w:rFonts w:hint="eastAsia" w:ascii="宋体" w:hAnsi="宋体" w:cs="宋体"/>
          <w:lang w:val="zh-CN"/>
        </w:rPr>
        <w:t>款</w:t>
      </w:r>
      <w:r>
        <w:rPr>
          <w:rFonts w:hint="eastAsia" w:ascii="宋体" w:hAnsi="宋体"/>
          <w:szCs w:val="21"/>
        </w:rPr>
        <w:t>所称条款数（最高项数）的统计方法见</w:t>
      </w:r>
      <w:r>
        <w:rPr>
          <w:rFonts w:hint="eastAsia" w:ascii="宋体" w:hAnsi="宋体"/>
          <w:b/>
          <w:szCs w:val="21"/>
        </w:rPr>
        <w:t>招标文件前附表。</w:t>
      </w:r>
    </w:p>
    <w:p>
      <w:pPr>
        <w:adjustRightInd w:val="0"/>
        <w:snapToGrid w:val="0"/>
        <w:spacing w:beforeLines="50" w:line="360" w:lineRule="auto"/>
        <w:rPr>
          <w:rFonts w:ascii="宋体" w:hAnsi="宋体"/>
          <w:b/>
          <w:bCs/>
          <w:szCs w:val="21"/>
        </w:rPr>
      </w:pPr>
      <w:bookmarkStart w:id="29" w:name="_Toc807_WPSOffice_Level3"/>
      <w:r>
        <w:rPr>
          <w:rFonts w:hint="eastAsia" w:ascii="宋体" w:hAnsi="宋体"/>
          <w:b/>
          <w:bCs/>
          <w:szCs w:val="21"/>
        </w:rPr>
        <w:t>11.招标文件的澄清与修改</w:t>
      </w:r>
      <w:bookmarkEnd w:id="29"/>
    </w:p>
    <w:p>
      <w:pPr>
        <w:pStyle w:val="74"/>
        <w:adjustRightInd w:val="0"/>
        <w:snapToGrid w:val="0"/>
        <w:spacing w:beforeLines="50" w:line="360" w:lineRule="auto"/>
        <w:ind w:firstLine="420" w:firstLineChars="200"/>
      </w:pPr>
      <w:r>
        <w:rPr>
          <w:rFonts w:hint="eastAsia" w:ascii="宋体" w:hAnsi="宋体"/>
        </w:rPr>
        <w:t xml:space="preserve">11.1 </w:t>
      </w:r>
      <w:r>
        <w:rPr>
          <w:rFonts w:hint="eastAsia"/>
        </w:rPr>
        <w:t>采购代理机构对已发出的招标文件进行必要澄清或者修改的，应当在</w:t>
      </w:r>
      <w:r>
        <w:rPr>
          <w:rFonts w:hint="eastAsia"/>
          <w:b/>
        </w:rPr>
        <w:t>招标文件前附表</w:t>
      </w:r>
      <w:r>
        <w:rPr>
          <w:rFonts w:hint="eastAsia"/>
        </w:rPr>
        <w:t>规定的提交投标文件截止时间十五日前，以书面形式通知所有招标文件收受人，并在本章第8.3款指定的媒体上发布更正公告。</w:t>
      </w:r>
      <w:r>
        <w:rPr>
          <w:rFonts w:hint="eastAsia" w:cs="宋体"/>
        </w:rPr>
        <w:t xml:space="preserve"> </w:t>
      </w:r>
    </w:p>
    <w:p>
      <w:pPr>
        <w:pStyle w:val="74"/>
        <w:adjustRightInd w:val="0"/>
        <w:snapToGrid w:val="0"/>
        <w:spacing w:beforeLines="50" w:line="360" w:lineRule="auto"/>
        <w:ind w:firstLine="420" w:firstLineChars="200"/>
        <w:rPr>
          <w:rFonts w:ascii="宋体" w:hAnsi="宋体"/>
        </w:rPr>
      </w:pPr>
      <w:r>
        <w:rPr>
          <w:rFonts w:hint="eastAsia" w:ascii="宋体" w:hAnsi="宋体" w:cs="宋体"/>
        </w:rPr>
        <w:t>11.2如果</w:t>
      </w:r>
      <w:r>
        <w:rPr>
          <w:rFonts w:hint="eastAsia" w:cs="宋体"/>
        </w:rPr>
        <w:t>澄清</w:t>
      </w:r>
      <w:r>
        <w:rPr>
          <w:rFonts w:hint="eastAsia"/>
        </w:rPr>
        <w:t>或者修改发出的时间距本章第11.1款规定的投标截止时间不足十五日</w:t>
      </w:r>
      <w:r>
        <w:rPr>
          <w:rFonts w:hint="eastAsia" w:cs="宋体"/>
        </w:rPr>
        <w:t>，将相应当顺延投标截止时间。</w:t>
      </w:r>
    </w:p>
    <w:p>
      <w:pPr>
        <w:adjustRightInd w:val="0"/>
        <w:snapToGrid w:val="0"/>
        <w:spacing w:beforeLines="50" w:line="360" w:lineRule="auto"/>
        <w:rPr>
          <w:rFonts w:ascii="宋体" w:hAnsi="宋体"/>
          <w:b/>
          <w:bCs/>
          <w:szCs w:val="21"/>
        </w:rPr>
      </w:pPr>
      <w:bookmarkStart w:id="30" w:name="_Toc658_WPSOffice_Level3"/>
      <w:r>
        <w:rPr>
          <w:rFonts w:hint="eastAsia" w:ascii="宋体" w:hAnsi="宋体"/>
          <w:b/>
          <w:bCs/>
          <w:szCs w:val="21"/>
        </w:rPr>
        <w:t>12.</w:t>
      </w:r>
      <w:r>
        <w:rPr>
          <w:rFonts w:hint="eastAsia" w:ascii="宋体" w:hAnsi="宋体"/>
          <w:b/>
          <w:szCs w:val="21"/>
        </w:rPr>
        <w:t xml:space="preserve"> 延长投标截止时间和开标时间</w:t>
      </w:r>
      <w:bookmarkEnd w:id="30"/>
    </w:p>
    <w:p>
      <w:pPr>
        <w:autoSpaceDE w:val="0"/>
        <w:autoSpaceDN w:val="0"/>
        <w:adjustRightInd w:val="0"/>
        <w:snapToGrid w:val="0"/>
        <w:spacing w:beforeLines="50" w:line="360" w:lineRule="auto"/>
        <w:ind w:firstLine="420" w:firstLineChars="200"/>
        <w:jc w:val="left"/>
        <w:rPr>
          <w:rFonts w:ascii="宋体" w:hAnsi="宋体"/>
          <w:szCs w:val="21"/>
        </w:rPr>
      </w:pPr>
      <w:r>
        <w:rPr>
          <w:rFonts w:hint="eastAsia" w:ascii="宋体" w:hAnsi="宋体" w:cs="TimesNewRomanPSMT"/>
          <w:kern w:val="0"/>
          <w:szCs w:val="21"/>
        </w:rPr>
        <w:t xml:space="preserve">12.1 </w:t>
      </w:r>
      <w:r>
        <w:rPr>
          <w:rFonts w:hint="eastAsia" w:ascii="宋体" w:hAnsi="宋体"/>
          <w:szCs w:val="21"/>
        </w:rPr>
        <w:t>采购代理机构可以视采购具体情况，延长投标截止时间和开标时间，但应当在本章第11.1</w:t>
      </w:r>
      <w:r>
        <w:rPr>
          <w:rFonts w:hint="eastAsia"/>
        </w:rPr>
        <w:t>款</w:t>
      </w:r>
      <w:r>
        <w:rPr>
          <w:rFonts w:hint="eastAsia" w:ascii="宋体" w:hAnsi="宋体"/>
          <w:szCs w:val="21"/>
        </w:rPr>
        <w:t>规定的提交投标文件截止时间三日前，将变更时间书面通知所有招标文件收受人，并在本章第8.3款指定的媒体上发布更正公告。</w:t>
      </w: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szCs w:val="21"/>
        </w:rPr>
        <w:t xml:space="preserve">12.2 </w:t>
      </w:r>
      <w:r>
        <w:rPr>
          <w:rFonts w:hint="eastAsia"/>
        </w:rPr>
        <w:t>投标人应及时关注上述媒体发布的答疑纪要、本文件的澄清或修改、投标截止及开标时间的变更等相关信息，恕不另行通知，如有遗漏招标人概不负责。</w:t>
      </w:r>
    </w:p>
    <w:p>
      <w:pPr>
        <w:pStyle w:val="4"/>
        <w:rPr>
          <w:rFonts w:ascii="宋体" w:hAnsi="宋体"/>
          <w:sz w:val="21"/>
          <w:szCs w:val="21"/>
        </w:rPr>
      </w:pPr>
      <w:bookmarkStart w:id="31" w:name="_Toc4127_WPSOffice_Level2"/>
      <w:bookmarkStart w:id="32" w:name="_Toc536603233"/>
      <w:r>
        <w:rPr>
          <w:rFonts w:hint="eastAsia" w:ascii="宋体" w:hAnsi="宋体"/>
          <w:sz w:val="21"/>
          <w:szCs w:val="21"/>
        </w:rPr>
        <w:t>三、投标文件</w:t>
      </w:r>
      <w:bookmarkEnd w:id="31"/>
      <w:bookmarkEnd w:id="32"/>
    </w:p>
    <w:p>
      <w:pPr>
        <w:adjustRightInd w:val="0"/>
        <w:snapToGrid w:val="0"/>
        <w:spacing w:beforeLines="50" w:line="360" w:lineRule="auto"/>
        <w:jc w:val="left"/>
        <w:rPr>
          <w:rFonts w:ascii="宋体" w:hAnsi="宋体"/>
          <w:b/>
          <w:bCs/>
          <w:szCs w:val="21"/>
        </w:rPr>
      </w:pPr>
      <w:bookmarkStart w:id="33" w:name="_Toc15037_WPSOffice_Level3"/>
      <w:r>
        <w:rPr>
          <w:rFonts w:hint="eastAsia" w:ascii="宋体" w:hAnsi="宋体"/>
          <w:b/>
          <w:bCs/>
          <w:szCs w:val="21"/>
        </w:rPr>
        <w:t>13.投标语言</w:t>
      </w:r>
      <w:bookmarkEnd w:id="33"/>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13.1投标人提交的投标文件及投标人与采购代理机构就有关投标的所有来往函电均使用中文。投标人可以提交其他语言的资料，但应附有中文注释，有差异时以中文为准。</w:t>
      </w:r>
    </w:p>
    <w:p>
      <w:pPr>
        <w:adjustRightInd w:val="0"/>
        <w:snapToGrid w:val="0"/>
        <w:spacing w:beforeLines="50" w:line="360" w:lineRule="auto"/>
        <w:jc w:val="left"/>
        <w:rPr>
          <w:rFonts w:ascii="宋体" w:hAnsi="宋体"/>
          <w:b/>
          <w:szCs w:val="21"/>
        </w:rPr>
      </w:pPr>
      <w:bookmarkStart w:id="34" w:name="_Toc7423_WPSOffice_Level3"/>
      <w:r>
        <w:rPr>
          <w:rFonts w:hint="eastAsia" w:ascii="宋体" w:hAnsi="宋体"/>
          <w:b/>
          <w:szCs w:val="21"/>
        </w:rPr>
        <w:t>14.计量单位</w:t>
      </w:r>
      <w:bookmarkEnd w:id="34"/>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14.1所有计量均采用中华人民共和国法定计量单位。</w:t>
      </w:r>
    </w:p>
    <w:p>
      <w:pPr>
        <w:adjustRightInd w:val="0"/>
        <w:snapToGrid w:val="0"/>
        <w:spacing w:beforeLines="50" w:line="360" w:lineRule="auto"/>
        <w:jc w:val="left"/>
        <w:rPr>
          <w:rFonts w:ascii="宋体" w:hAnsi="宋体"/>
          <w:b/>
          <w:bCs/>
          <w:szCs w:val="21"/>
        </w:rPr>
      </w:pPr>
      <w:bookmarkStart w:id="35" w:name="_Toc31762_WPSOffice_Level3"/>
      <w:r>
        <w:rPr>
          <w:rFonts w:hint="eastAsia" w:ascii="宋体" w:hAnsi="宋体"/>
          <w:b/>
          <w:bCs/>
          <w:szCs w:val="21"/>
        </w:rPr>
        <w:t>15.投标文件的组成</w:t>
      </w:r>
      <w:bookmarkEnd w:id="35"/>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15.1 投标文件由商务文件、技术文件两部分组成。各部分的内容如下：</w:t>
      </w:r>
    </w:p>
    <w:p>
      <w:pPr>
        <w:adjustRightInd w:val="0"/>
        <w:snapToGrid w:val="0"/>
        <w:spacing w:beforeLines="50" w:line="360" w:lineRule="auto"/>
        <w:ind w:firstLine="422" w:firstLineChars="200"/>
        <w:jc w:val="left"/>
        <w:rPr>
          <w:rFonts w:ascii="宋体" w:hAnsi="宋体"/>
          <w:b/>
          <w:szCs w:val="21"/>
        </w:rPr>
      </w:pPr>
      <w:r>
        <w:rPr>
          <w:rFonts w:hint="eastAsia" w:ascii="宋体" w:hAnsi="宋体"/>
          <w:b/>
          <w:szCs w:val="21"/>
        </w:rPr>
        <w:t>商务文件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（1）投标函</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（2）开标一览表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（3）投标分项价格表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（4）商务条款响应/偏离表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（5）投标保证金</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（6）投标人具备投标资格的证明文件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（7）投标人认为需要加以说明的其它资料</w:t>
      </w:r>
    </w:p>
    <w:p>
      <w:pPr>
        <w:adjustRightInd w:val="0"/>
        <w:snapToGrid w:val="0"/>
        <w:spacing w:beforeLines="50" w:line="360" w:lineRule="auto"/>
        <w:ind w:firstLine="422" w:firstLineChars="200"/>
        <w:jc w:val="left"/>
        <w:rPr>
          <w:rFonts w:ascii="宋体" w:hAnsi="宋体"/>
          <w:b/>
          <w:szCs w:val="21"/>
        </w:rPr>
      </w:pPr>
      <w:r>
        <w:rPr>
          <w:rFonts w:hint="eastAsia" w:ascii="宋体" w:hAnsi="宋体"/>
          <w:b/>
          <w:szCs w:val="21"/>
        </w:rPr>
        <w:t>技术文件</w:t>
      </w:r>
    </w:p>
    <w:p>
      <w:pPr>
        <w:adjustRightInd w:val="0"/>
        <w:snapToGrid w:val="0"/>
        <w:spacing w:beforeLines="50" w:line="360" w:lineRule="auto"/>
        <w:ind w:left="420"/>
        <w:jc w:val="left"/>
        <w:rPr>
          <w:rFonts w:ascii="宋体" w:hAnsi="宋体" w:cs="宋体"/>
          <w:szCs w:val="21"/>
        </w:rPr>
      </w:pPr>
      <w:r>
        <w:rPr>
          <w:rFonts w:hint="eastAsia" w:ascii="宋体" w:hAnsi="宋体"/>
          <w:szCs w:val="21"/>
        </w:rPr>
        <w:t>（8）货物说明一览表</w:t>
      </w:r>
    </w:p>
    <w:p>
      <w:pPr>
        <w:adjustRightInd w:val="0"/>
        <w:snapToGrid w:val="0"/>
        <w:spacing w:beforeLines="50" w:line="360" w:lineRule="auto"/>
        <w:ind w:firstLine="420" w:firstLineChars="200"/>
        <w:jc w:val="left"/>
        <w:rPr>
          <w:rFonts w:ascii="宋体" w:hAnsi="宋体" w:cs="宋体"/>
          <w:szCs w:val="21"/>
        </w:rPr>
      </w:pPr>
      <w:r>
        <w:rPr>
          <w:rFonts w:hint="eastAsia" w:ascii="宋体" w:hAnsi="宋体"/>
          <w:szCs w:val="21"/>
        </w:rPr>
        <w:t>（9）技术规格、参数响应/偏离表</w:t>
      </w:r>
    </w:p>
    <w:p>
      <w:pPr>
        <w:adjustRightInd w:val="0"/>
        <w:snapToGrid w:val="0"/>
        <w:spacing w:beforeLines="50" w:line="360" w:lineRule="auto"/>
        <w:ind w:firstLine="420" w:firstLineChars="200"/>
        <w:jc w:val="left"/>
        <w:rPr>
          <w:rFonts w:ascii="宋体" w:hAnsi="宋体" w:cs="宋体"/>
          <w:szCs w:val="21"/>
        </w:rPr>
      </w:pPr>
      <w:r>
        <w:rPr>
          <w:rFonts w:hint="eastAsia" w:ascii="宋体" w:hAnsi="宋体"/>
          <w:szCs w:val="21"/>
        </w:rPr>
        <w:t>（10）技术人员情况简介</w:t>
      </w:r>
    </w:p>
    <w:p>
      <w:pPr>
        <w:adjustRightInd w:val="0"/>
        <w:snapToGrid w:val="0"/>
        <w:spacing w:beforeLines="50" w:line="360" w:lineRule="auto"/>
        <w:ind w:firstLine="420" w:firstLineChars="200"/>
        <w:jc w:val="left"/>
        <w:rPr>
          <w:rFonts w:ascii="宋体" w:hAnsi="宋体" w:cs="宋体"/>
          <w:szCs w:val="21"/>
        </w:rPr>
      </w:pPr>
      <w:r>
        <w:rPr>
          <w:rFonts w:hint="eastAsia" w:ascii="宋体" w:hAnsi="宋体"/>
          <w:szCs w:val="21"/>
        </w:rPr>
        <w:t>（11）</w:t>
      </w:r>
      <w:r>
        <w:rPr>
          <w:rFonts w:hint="eastAsia" w:ascii="宋体" w:hAnsi="宋体" w:cs="宋体"/>
          <w:szCs w:val="21"/>
        </w:rPr>
        <w:t>售后服务承诺书</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（12）投标服务符合招标文件规定的证明文件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15.2 投标文件内容及题目的编排顺序和编号按本章第15.1</w:t>
      </w:r>
      <w:r>
        <w:rPr>
          <w:rFonts w:hint="eastAsia" w:ascii="宋体" w:hAnsi="宋体" w:cs="宋体"/>
          <w:kern w:val="0"/>
          <w:szCs w:val="21"/>
          <w:lang w:val="zh-CN"/>
        </w:rPr>
        <w:t>款</w:t>
      </w:r>
      <w:r>
        <w:rPr>
          <w:rFonts w:hint="eastAsia" w:ascii="宋体" w:hAnsi="宋体"/>
          <w:szCs w:val="21"/>
        </w:rPr>
        <w:t>要求的结构。</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15.3 根据《政府采购法》第四十二条的规定，投标人无论中标与否，其投标文件不予退还。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15.4投标人如有投标优惠，涉及价格的，应当直接在</w:t>
      </w:r>
      <w:r>
        <w:rPr>
          <w:rFonts w:hint="eastAsia" w:hAnsi="宋体"/>
        </w:rPr>
        <w:t>开标一览表</w:t>
      </w:r>
      <w:r>
        <w:rPr>
          <w:rFonts w:hint="eastAsia" w:ascii="宋体" w:hAnsi="宋体"/>
          <w:szCs w:val="21"/>
        </w:rPr>
        <w:t>的投标报价中给出(即投标报价中已包含价格折扣)；涉及商务、技术内容的，应当在商务条款响应/偏离表或技术规格、参数响应/偏离表中填写。</w:t>
      </w:r>
    </w:p>
    <w:p>
      <w:pPr>
        <w:adjustRightInd w:val="0"/>
        <w:snapToGrid w:val="0"/>
        <w:spacing w:beforeLines="50" w:line="360" w:lineRule="auto"/>
        <w:jc w:val="left"/>
        <w:rPr>
          <w:rFonts w:ascii="宋体" w:hAnsi="宋体"/>
          <w:b/>
          <w:bCs/>
          <w:szCs w:val="21"/>
        </w:rPr>
      </w:pPr>
      <w:bookmarkStart w:id="36" w:name="_Toc2243_WPSOffice_Level3"/>
      <w:r>
        <w:rPr>
          <w:rFonts w:hint="eastAsia" w:ascii="宋体" w:hAnsi="宋体"/>
          <w:b/>
          <w:bCs/>
          <w:szCs w:val="21"/>
        </w:rPr>
        <w:t>16.投标报价</w:t>
      </w:r>
      <w:bookmarkEnd w:id="36"/>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16.1 投标人应按招标文件规定的供货及服务要求、责任范围和合同条件，以人民币进行报价。</w:t>
      </w:r>
    </w:p>
    <w:p>
      <w:pPr>
        <w:tabs>
          <w:tab w:val="left" w:pos="0"/>
          <w:tab w:val="left" w:pos="7560"/>
          <w:tab w:val="left" w:pos="7740"/>
          <w:tab w:val="left" w:pos="7920"/>
        </w:tabs>
        <w:adjustRightInd w:val="0"/>
        <w:snapToGrid w:val="0"/>
        <w:spacing w:beforeLines="50" w:line="360" w:lineRule="auto"/>
        <w:ind w:right="17" w:rightChars="8" w:firstLine="420" w:firstLineChars="200"/>
        <w:rPr>
          <w:rFonts w:ascii="宋体" w:hAnsi="宋体"/>
          <w:szCs w:val="21"/>
        </w:rPr>
      </w:pPr>
      <w:r>
        <w:rPr>
          <w:rFonts w:hint="eastAsia" w:ascii="宋体" w:hAnsi="宋体"/>
          <w:szCs w:val="21"/>
        </w:rPr>
        <w:t>16.2 投标人应按开标一览表和分项价格表的内容和格式要求填写各项货物及服务的分项价格和总价。投标总价中不得包含招标文件要求以外的内容，否则，在评标时不予核减。投标总价中也不得缺漏招标文件所要求的内容，否则，在评标时将其视为无效投标。</w:t>
      </w:r>
    </w:p>
    <w:p>
      <w:pPr>
        <w:pStyle w:val="22"/>
        <w:adjustRightInd w:val="0"/>
        <w:snapToGrid w:val="0"/>
        <w:spacing w:beforeLines="50" w:line="360" w:lineRule="auto"/>
        <w:ind w:firstLine="420" w:firstLineChars="200"/>
        <w:jc w:val="left"/>
        <w:rPr>
          <w:rFonts w:hAnsi="宋体"/>
        </w:rPr>
      </w:pPr>
      <w:r>
        <w:rPr>
          <w:rFonts w:hint="eastAsia" w:hAnsi="宋体"/>
        </w:rPr>
        <w:t>16.3除</w:t>
      </w:r>
      <w:r>
        <w:rPr>
          <w:rFonts w:hint="eastAsia" w:hAnsi="宋体"/>
          <w:b/>
        </w:rPr>
        <w:t>招标文件前附表</w:t>
      </w:r>
      <w:r>
        <w:rPr>
          <w:rFonts w:hint="eastAsia" w:hAnsi="宋体"/>
        </w:rPr>
        <w:t>允许提交备选方案外，投标人对每种货物及服务只允许有一个报价，不接受选择性报价，否则，在评标时将其视为无效投标。</w:t>
      </w:r>
    </w:p>
    <w:p>
      <w:pPr>
        <w:tabs>
          <w:tab w:val="left" w:pos="525"/>
          <w:tab w:val="left" w:pos="7560"/>
          <w:tab w:val="left" w:pos="8280"/>
        </w:tabs>
        <w:adjustRightInd w:val="0"/>
        <w:snapToGrid w:val="0"/>
        <w:spacing w:beforeLines="50" w:line="360" w:lineRule="auto"/>
        <w:ind w:right="31" w:rightChars="15" w:firstLine="420" w:firstLineChars="200"/>
        <w:jc w:val="left"/>
        <w:rPr>
          <w:rFonts w:ascii="宋体" w:hAnsi="宋体"/>
          <w:szCs w:val="21"/>
        </w:rPr>
      </w:pPr>
      <w:r>
        <w:rPr>
          <w:rFonts w:hint="eastAsia" w:ascii="宋体" w:hAnsi="宋体"/>
          <w:szCs w:val="21"/>
        </w:rPr>
        <w:t>16.4投标人的投标总报价不得超过采购项目预算。采购项目预算见</w:t>
      </w:r>
      <w:r>
        <w:rPr>
          <w:rFonts w:hint="eastAsia" w:ascii="宋体" w:hAnsi="宋体"/>
          <w:b/>
          <w:szCs w:val="21"/>
        </w:rPr>
        <w:t>招标文件前附表</w:t>
      </w:r>
      <w:r>
        <w:rPr>
          <w:rFonts w:hint="eastAsia" w:ascii="宋体" w:hAnsi="宋体"/>
          <w:szCs w:val="21"/>
        </w:rPr>
        <w:t>。</w:t>
      </w:r>
    </w:p>
    <w:p>
      <w:pPr>
        <w:pStyle w:val="22"/>
        <w:adjustRightInd w:val="0"/>
        <w:snapToGrid w:val="0"/>
        <w:spacing w:beforeLines="50" w:line="360" w:lineRule="auto"/>
        <w:ind w:firstLine="420" w:firstLineChars="200"/>
        <w:jc w:val="left"/>
        <w:rPr>
          <w:rFonts w:hAnsi="宋体"/>
        </w:rPr>
      </w:pPr>
      <w:r>
        <w:rPr>
          <w:rFonts w:hint="eastAsia" w:hAnsi="宋体"/>
        </w:rPr>
        <w:t>16.5 投标文件中标明的价格在合同执行过程中是固定不变的，不得以任何理由予以变更。任何包含价格调整要求和条件的投标，在评标时将其视为无效投标。</w:t>
      </w:r>
    </w:p>
    <w:p>
      <w:pPr>
        <w:pStyle w:val="22"/>
        <w:adjustRightInd w:val="0"/>
        <w:snapToGrid w:val="0"/>
        <w:spacing w:beforeLines="50" w:line="360" w:lineRule="auto"/>
        <w:ind w:firstLine="420" w:firstLineChars="200"/>
        <w:jc w:val="left"/>
        <w:rPr>
          <w:rFonts w:hAnsi="宋体"/>
        </w:rPr>
      </w:pPr>
      <w:r>
        <w:rPr>
          <w:rFonts w:hint="eastAsia" w:hAnsi="宋体"/>
        </w:rPr>
        <w:t>16.6投标人的价格折扣（价格变更声明</w:t>
      </w:r>
      <w:r>
        <w:rPr>
          <w:rFonts w:hAnsi="宋体"/>
        </w:rPr>
        <w:t>）</w:t>
      </w:r>
      <w:r>
        <w:rPr>
          <w:rFonts w:hint="eastAsia" w:hAnsi="宋体"/>
        </w:rPr>
        <w:t>应当直接在开标一览表的投标报价中给出。</w:t>
      </w:r>
    </w:p>
    <w:p>
      <w:pPr>
        <w:pStyle w:val="22"/>
        <w:adjustRightInd w:val="0"/>
        <w:snapToGrid w:val="0"/>
        <w:spacing w:beforeLines="50" w:line="360" w:lineRule="auto"/>
        <w:jc w:val="left"/>
        <w:rPr>
          <w:rFonts w:hAnsi="宋体"/>
          <w:b/>
        </w:rPr>
      </w:pPr>
      <w:bookmarkStart w:id="37" w:name="_Toc29352_WPSOffice_Level3"/>
      <w:r>
        <w:rPr>
          <w:rFonts w:hint="eastAsia" w:hAnsi="宋体"/>
          <w:b/>
        </w:rPr>
        <w:t>17.备选方案</w:t>
      </w:r>
      <w:bookmarkEnd w:id="37"/>
    </w:p>
    <w:p>
      <w:pPr>
        <w:pStyle w:val="22"/>
        <w:adjustRightInd w:val="0"/>
        <w:snapToGrid w:val="0"/>
        <w:spacing w:beforeLines="50" w:line="360" w:lineRule="auto"/>
        <w:ind w:firstLine="420" w:firstLineChars="200"/>
        <w:jc w:val="left"/>
        <w:rPr>
          <w:rFonts w:hAnsi="宋体"/>
        </w:rPr>
      </w:pPr>
      <w:r>
        <w:rPr>
          <w:rFonts w:hint="eastAsia" w:hAnsi="宋体"/>
        </w:rPr>
        <w:t>17.1 除本章第16.3款另有规定外，本采购项目不接受备选方案投标。</w:t>
      </w:r>
    </w:p>
    <w:p>
      <w:pPr>
        <w:pStyle w:val="22"/>
        <w:adjustRightInd w:val="0"/>
        <w:snapToGrid w:val="0"/>
        <w:spacing w:beforeLines="50" w:line="360" w:lineRule="auto"/>
        <w:ind w:firstLine="420" w:firstLineChars="200"/>
        <w:jc w:val="left"/>
        <w:rPr>
          <w:rFonts w:hAnsi="宋体"/>
        </w:rPr>
      </w:pPr>
      <w:r>
        <w:rPr>
          <w:rFonts w:hint="eastAsia" w:hAnsi="宋体"/>
        </w:rPr>
        <w:t>17.2本章第16.3款规定接受备选方案投标时：</w:t>
      </w:r>
    </w:p>
    <w:p>
      <w:pPr>
        <w:pStyle w:val="22"/>
        <w:adjustRightInd w:val="0"/>
        <w:snapToGrid w:val="0"/>
        <w:spacing w:beforeLines="50" w:line="360" w:lineRule="auto"/>
        <w:ind w:firstLine="420" w:firstLineChars="200"/>
        <w:jc w:val="left"/>
        <w:rPr>
          <w:rFonts w:hAnsi="宋体"/>
        </w:rPr>
      </w:pPr>
      <w:r>
        <w:rPr>
          <w:rFonts w:hint="eastAsia" w:hAnsi="宋体"/>
        </w:rPr>
        <w:t>（1）投标人在投标文件中只能提交一个备选方案并注明主选方案，且备选方案的投标报价不得高于主选方案。</w:t>
      </w:r>
      <w:r>
        <w:rPr>
          <w:rFonts w:hint="eastAsia" w:hAnsi="宋体"/>
          <w:bCs/>
        </w:rPr>
        <w:t>如果</w:t>
      </w:r>
      <w:r>
        <w:rPr>
          <w:rFonts w:hint="eastAsia" w:hAnsi="宋体"/>
        </w:rPr>
        <w:t>投标人在投标文件中提交两个以上备选方案或未注明何为主选方案，在评标时将其视为无效投标。</w:t>
      </w:r>
    </w:p>
    <w:p>
      <w:pPr>
        <w:pStyle w:val="22"/>
        <w:adjustRightInd w:val="0"/>
        <w:snapToGrid w:val="0"/>
        <w:spacing w:beforeLines="50" w:line="360" w:lineRule="auto"/>
        <w:ind w:firstLine="420" w:firstLineChars="200"/>
        <w:jc w:val="left"/>
        <w:rPr>
          <w:rFonts w:hAnsi="宋体"/>
        </w:rPr>
      </w:pPr>
      <w:r>
        <w:rPr>
          <w:rFonts w:hint="eastAsia" w:hAnsi="宋体"/>
        </w:rPr>
        <w:t>（2）在评标时，评标委员会仅对主选方案进行评标。</w:t>
      </w:r>
    </w:p>
    <w:p>
      <w:pPr>
        <w:pStyle w:val="22"/>
        <w:adjustRightInd w:val="0"/>
        <w:snapToGrid w:val="0"/>
        <w:spacing w:beforeLines="50" w:line="360" w:lineRule="auto"/>
        <w:ind w:firstLine="420" w:firstLineChars="200"/>
        <w:jc w:val="left"/>
        <w:rPr>
          <w:rFonts w:hAnsi="宋体"/>
        </w:rPr>
      </w:pPr>
      <w:r>
        <w:rPr>
          <w:rFonts w:hint="eastAsia" w:hAnsi="宋体"/>
        </w:rPr>
        <w:t>（3）备选方案应当在开标一览表列出。</w:t>
      </w:r>
    </w:p>
    <w:p>
      <w:pPr>
        <w:adjustRightInd w:val="0"/>
        <w:snapToGrid w:val="0"/>
        <w:spacing w:beforeLines="50" w:line="360" w:lineRule="auto"/>
        <w:jc w:val="left"/>
        <w:rPr>
          <w:rFonts w:ascii="宋体" w:hAnsi="宋体"/>
          <w:b/>
          <w:bCs/>
          <w:szCs w:val="21"/>
        </w:rPr>
      </w:pPr>
      <w:bookmarkStart w:id="38" w:name="_Toc7166_WPSOffice_Level3"/>
      <w:r>
        <w:rPr>
          <w:rFonts w:hint="eastAsia" w:ascii="宋体" w:hAnsi="宋体"/>
          <w:b/>
          <w:bCs/>
          <w:szCs w:val="21"/>
        </w:rPr>
        <w:t>18.投标人的资格证明文件</w:t>
      </w:r>
      <w:bookmarkEnd w:id="38"/>
    </w:p>
    <w:p>
      <w:pPr>
        <w:tabs>
          <w:tab w:val="left" w:pos="7560"/>
          <w:tab w:val="left" w:pos="7740"/>
          <w:tab w:val="left" w:pos="7920"/>
        </w:tabs>
        <w:adjustRightInd w:val="0"/>
        <w:snapToGrid w:val="0"/>
        <w:spacing w:beforeLines="50" w:line="360" w:lineRule="auto"/>
        <w:ind w:right="17" w:rightChars="8" w:firstLine="420" w:firstLineChars="200"/>
        <w:rPr>
          <w:rFonts w:ascii="宋体" w:hAnsi="宋体"/>
          <w:szCs w:val="21"/>
        </w:rPr>
      </w:pPr>
      <w:r>
        <w:rPr>
          <w:rFonts w:hint="eastAsia" w:ascii="宋体" w:hAnsi="宋体"/>
          <w:szCs w:val="21"/>
        </w:rPr>
        <w:t>18.1投标人应提交满足本章第3.1</w:t>
      </w:r>
      <w:r>
        <w:rPr>
          <w:rFonts w:hint="eastAsia" w:ascii="宋体" w:hAnsi="宋体" w:cs="宋体"/>
          <w:kern w:val="0"/>
          <w:szCs w:val="21"/>
          <w:lang w:val="zh-CN"/>
        </w:rPr>
        <w:t>款</w:t>
      </w:r>
      <w:r>
        <w:rPr>
          <w:rFonts w:hint="eastAsia" w:ascii="宋体" w:hAnsi="宋体"/>
          <w:szCs w:val="21"/>
        </w:rPr>
        <w:t>规定的资格条件要求的证明文件,该证明文件作为投标文件的一部分。</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18.2如果投标人为联合体，则应提交联合体各方资格证明文件、联合体协议。否则，在评标时将其视为无效投标。</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18.3除</w:t>
      </w:r>
      <w:r>
        <w:rPr>
          <w:rFonts w:hint="eastAsia" w:ascii="宋体" w:hAnsi="宋体"/>
          <w:b/>
          <w:szCs w:val="21"/>
        </w:rPr>
        <w:t>招标文件前附表</w:t>
      </w:r>
      <w:r>
        <w:rPr>
          <w:rFonts w:hint="eastAsia" w:ascii="宋体" w:hAnsi="宋体"/>
          <w:szCs w:val="21"/>
        </w:rPr>
        <w:t>另有规定外，投标人提供的货物及服务不是投标人制造或拥有的</w:t>
      </w:r>
      <w:r>
        <w:rPr>
          <w:rFonts w:ascii="宋体" w:hAnsi="宋体"/>
          <w:szCs w:val="21"/>
        </w:rPr>
        <w:t>,</w:t>
      </w:r>
      <w:r>
        <w:rPr>
          <w:rFonts w:hint="eastAsia" w:ascii="宋体" w:hAnsi="宋体"/>
          <w:szCs w:val="21"/>
        </w:rPr>
        <w:t>则应当提供经销、或代理投标货物、或为投标货物提供售后服务的证明文件。否则，在评标时将其视为无效投标。</w:t>
      </w:r>
    </w:p>
    <w:p>
      <w:pPr>
        <w:adjustRightInd w:val="0"/>
        <w:snapToGrid w:val="0"/>
        <w:spacing w:beforeLines="50" w:line="360" w:lineRule="auto"/>
        <w:jc w:val="left"/>
        <w:rPr>
          <w:rFonts w:ascii="宋体" w:hAnsi="宋体"/>
          <w:b/>
          <w:bCs/>
          <w:szCs w:val="21"/>
        </w:rPr>
      </w:pPr>
      <w:bookmarkStart w:id="39" w:name="_Toc26141_WPSOffice_Level3"/>
      <w:r>
        <w:rPr>
          <w:rFonts w:hint="eastAsia" w:ascii="宋体" w:hAnsi="宋体"/>
          <w:b/>
          <w:bCs/>
          <w:szCs w:val="21"/>
        </w:rPr>
        <w:t>19.投标货物符合招标文件规定的证明文件</w:t>
      </w:r>
      <w:bookmarkEnd w:id="39"/>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19.1 投标人应当提交其拟供的合同项下货物及其服务符合招标文件规定的证明文件,该证明文件作为投标文件的一部分。</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19.2 上述证明文件可以是文字资料、图纸和数据，并须提供：</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 xml:space="preserve">（1）货物主要性能和参数的详细说明； </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（2）对照招标文件技术规格，逐条说明所提供货物和服务对招标文件的技术规格条文的响应与偏离。对有具体参数要求的指标，投标人应提供具体参数值。</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 xml:space="preserve">19.3 </w:t>
      </w:r>
      <w:r>
        <w:rPr>
          <w:rFonts w:hint="eastAsia" w:ascii="宋体" w:hAnsi="宋体"/>
          <w:b/>
          <w:szCs w:val="21"/>
        </w:rPr>
        <w:t>招标文件前附表</w:t>
      </w:r>
      <w:r>
        <w:rPr>
          <w:rFonts w:hint="eastAsia" w:ascii="宋体" w:hAnsi="宋体"/>
          <w:szCs w:val="21"/>
        </w:rPr>
        <w:t>规定投标人在投标时提供样品的，投标人</w:t>
      </w:r>
      <w:r>
        <w:rPr>
          <w:szCs w:val="21"/>
        </w:rPr>
        <w:t>有以下情形之一的</w:t>
      </w:r>
      <w:r>
        <w:rPr>
          <w:rFonts w:hint="eastAsia"/>
          <w:szCs w:val="21"/>
        </w:rPr>
        <w:t>，</w:t>
      </w:r>
      <w:r>
        <w:rPr>
          <w:rFonts w:hint="eastAsia" w:ascii="宋体" w:hAnsi="宋体"/>
          <w:szCs w:val="21"/>
        </w:rPr>
        <w:t>在评标时将其视为无效投标。</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（1）未在</w:t>
      </w:r>
      <w:r>
        <w:rPr>
          <w:rFonts w:hint="eastAsia" w:ascii="宋体" w:hAnsi="宋体"/>
          <w:b/>
          <w:szCs w:val="21"/>
        </w:rPr>
        <w:t>招标文件前附表</w:t>
      </w:r>
      <w:r>
        <w:rPr>
          <w:rFonts w:hint="eastAsia" w:ascii="宋体" w:hAnsi="宋体"/>
          <w:szCs w:val="21"/>
        </w:rPr>
        <w:t>规定的提交时间、地点提交</w:t>
      </w:r>
      <w:r>
        <w:rPr>
          <w:szCs w:val="21"/>
        </w:rPr>
        <w:t>的</w:t>
      </w:r>
      <w:r>
        <w:rPr>
          <w:rFonts w:hint="eastAsia" w:ascii="宋体" w:hAnsi="宋体"/>
          <w:szCs w:val="21"/>
        </w:rPr>
        <w:t>；</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（2）投标人提供的样品与投标文件中型号、规格不一致</w:t>
      </w:r>
      <w:r>
        <w:rPr>
          <w:szCs w:val="21"/>
        </w:rPr>
        <w:t>的</w:t>
      </w:r>
      <w:r>
        <w:rPr>
          <w:rFonts w:hint="eastAsia" w:ascii="宋体" w:hAnsi="宋体"/>
          <w:szCs w:val="21"/>
        </w:rPr>
        <w:t>。</w:t>
      </w:r>
    </w:p>
    <w:p>
      <w:pPr>
        <w:adjustRightInd w:val="0"/>
        <w:snapToGrid w:val="0"/>
        <w:spacing w:beforeLines="50" w:line="360" w:lineRule="auto"/>
        <w:jc w:val="left"/>
        <w:rPr>
          <w:rFonts w:ascii="宋体" w:hAnsi="宋体"/>
          <w:b/>
          <w:bCs/>
          <w:szCs w:val="21"/>
        </w:rPr>
      </w:pPr>
      <w:bookmarkStart w:id="40" w:name="_Toc973_WPSOffice_Level3"/>
      <w:r>
        <w:rPr>
          <w:rFonts w:hint="eastAsia" w:ascii="宋体" w:hAnsi="宋体"/>
          <w:b/>
          <w:szCs w:val="21"/>
        </w:rPr>
        <w:t>20.</w:t>
      </w:r>
      <w:r>
        <w:rPr>
          <w:rFonts w:hint="eastAsia" w:ascii="宋体" w:hAnsi="宋体"/>
          <w:b/>
          <w:bCs/>
          <w:szCs w:val="21"/>
        </w:rPr>
        <w:t>投标保证金</w:t>
      </w:r>
      <w:bookmarkEnd w:id="40"/>
    </w:p>
    <w:p>
      <w:pPr>
        <w:adjustRightInd w:val="0"/>
        <w:snapToGrid w:val="0"/>
        <w:spacing w:beforeLines="50" w:line="360" w:lineRule="auto"/>
        <w:ind w:firstLine="420" w:firstLineChars="200"/>
        <w:jc w:val="left"/>
        <w:rPr>
          <w:rFonts w:ascii="宋体" w:hAnsi="宋体"/>
          <w:bCs/>
          <w:szCs w:val="21"/>
        </w:rPr>
      </w:pPr>
      <w:r>
        <w:rPr>
          <w:rFonts w:hint="eastAsia" w:ascii="宋体" w:hAnsi="宋体"/>
          <w:szCs w:val="21"/>
        </w:rPr>
        <w:t>20.1</w:t>
      </w:r>
      <w:r>
        <w:rPr>
          <w:rFonts w:hint="eastAsia" w:ascii="宋体" w:hAnsi="宋体"/>
          <w:b/>
          <w:szCs w:val="21"/>
        </w:rPr>
        <w:t>招标文件前附表</w:t>
      </w:r>
      <w:r>
        <w:rPr>
          <w:rFonts w:hint="eastAsia" w:ascii="宋体" w:hAnsi="宋体"/>
          <w:szCs w:val="21"/>
        </w:rPr>
        <w:t>规定交纳</w:t>
      </w:r>
      <w:r>
        <w:rPr>
          <w:rFonts w:hint="eastAsia" w:ascii="宋体" w:hAnsi="宋体"/>
          <w:bCs/>
          <w:szCs w:val="21"/>
        </w:rPr>
        <w:t>投标保证金的</w:t>
      </w:r>
      <w:r>
        <w:rPr>
          <w:rFonts w:hint="eastAsia" w:ascii="宋体" w:hAnsi="宋体"/>
          <w:szCs w:val="21"/>
        </w:rPr>
        <w:t>，</w:t>
      </w:r>
      <w:r>
        <w:rPr>
          <w:rFonts w:hint="eastAsia" w:ascii="宋体" w:hAnsi="宋体"/>
          <w:bCs/>
          <w:szCs w:val="21"/>
        </w:rPr>
        <w:t>投标人应以支票、汇票、本票或金融机构、担保机构出具的保函等非现金形式，在</w:t>
      </w:r>
      <w:r>
        <w:rPr>
          <w:rFonts w:hint="eastAsia" w:ascii="宋体" w:hAnsi="宋体"/>
          <w:szCs w:val="21"/>
        </w:rPr>
        <w:t>本章第11.1</w:t>
      </w:r>
      <w:r>
        <w:rPr>
          <w:rFonts w:hint="eastAsia" w:ascii="宋体" w:hAnsi="宋体" w:cs="宋体"/>
          <w:kern w:val="0"/>
          <w:szCs w:val="21"/>
          <w:lang w:val="zh-CN"/>
        </w:rPr>
        <w:t>款</w:t>
      </w:r>
      <w:r>
        <w:rPr>
          <w:rFonts w:hint="eastAsia" w:ascii="宋体" w:hAnsi="宋体"/>
          <w:szCs w:val="21"/>
        </w:rPr>
        <w:t>规定</w:t>
      </w:r>
      <w:r>
        <w:rPr>
          <w:rFonts w:hint="eastAsia" w:ascii="宋体" w:hAnsi="宋体"/>
          <w:bCs/>
          <w:szCs w:val="21"/>
        </w:rPr>
        <w:t>的投标截止时间前。</w:t>
      </w:r>
      <w:r>
        <w:rPr>
          <w:rFonts w:hint="eastAsia" w:ascii="宋体" w:hAnsi="宋体"/>
          <w:szCs w:val="21"/>
        </w:rPr>
        <w:t>向</w:t>
      </w:r>
      <w:r>
        <w:rPr>
          <w:rFonts w:hint="eastAsia" w:ascii="宋体" w:hAnsi="宋体"/>
          <w:bCs/>
          <w:szCs w:val="21"/>
        </w:rPr>
        <w:t>采购代理机构提交采购项目预算百分之一的投标保证金（数额采购四舍五入，计算至元）。投标保证金有效期应与本章第21.1款规定的投标有效期一致。投标人未按照招标文件要求提交投标保证金的，</w:t>
      </w:r>
      <w:r>
        <w:rPr>
          <w:rFonts w:hint="eastAsia" w:ascii="宋体" w:hAnsi="宋体"/>
          <w:szCs w:val="21"/>
        </w:rPr>
        <w:t>采购代理机构应当拒绝接收投标人的投标文件或评标委员会在评标时将其视为无效投标。</w:t>
      </w:r>
    </w:p>
    <w:p>
      <w:pPr>
        <w:adjustRightInd w:val="0"/>
        <w:snapToGrid w:val="0"/>
        <w:spacing w:beforeLines="50" w:line="360" w:lineRule="auto"/>
        <w:ind w:firstLine="420" w:firstLineChars="200"/>
        <w:rPr>
          <w:rFonts w:ascii="宋体" w:hAnsi="宋体"/>
          <w:szCs w:val="21"/>
        </w:rPr>
      </w:pPr>
      <w:r>
        <w:rPr>
          <w:rFonts w:hint="eastAsia" w:ascii="宋体" w:hAnsi="宋体"/>
          <w:bCs/>
          <w:szCs w:val="21"/>
        </w:rPr>
        <w:t>20.2</w:t>
      </w:r>
      <w:r>
        <w:rPr>
          <w:rFonts w:hint="eastAsia" w:ascii="宋体" w:hAnsi="宋体"/>
          <w:szCs w:val="21"/>
        </w:rPr>
        <w:t>联合体投标的，可以由联合体中的一方或者共同提交投标保证金。以一方名义提交投标保证金的，对联合体各方均具有约束力。</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20.3 未中标的投标人的投标保证金，将在中标通知书发出后五个工作日内无息退还。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20.4 中标的投标人的投标保证金，将在政府采购合同签订后五个工作日内无息退还。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20.5有以下情形之一的，投标保证金将不予退还：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（1）投标人在本章第20.1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szCs w:val="21"/>
        </w:rPr>
        <w:t xml:space="preserve">投标有效期内撤回或修改投标文件； </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（2）有《政府采购货物和服务招标投标管理办法》第七十五条情形之一。</w:t>
      </w:r>
    </w:p>
    <w:p>
      <w:pPr>
        <w:adjustRightInd w:val="0"/>
        <w:snapToGrid w:val="0"/>
        <w:spacing w:beforeLines="50" w:line="360" w:lineRule="auto"/>
        <w:jc w:val="left"/>
        <w:rPr>
          <w:rFonts w:ascii="宋体" w:hAnsi="宋体"/>
          <w:b/>
          <w:bCs/>
          <w:szCs w:val="21"/>
        </w:rPr>
      </w:pPr>
      <w:bookmarkStart w:id="41" w:name="_Toc2883_WPSOffice_Level3"/>
      <w:r>
        <w:rPr>
          <w:rFonts w:hint="eastAsia" w:ascii="宋体" w:hAnsi="宋体"/>
          <w:b/>
          <w:bCs/>
          <w:szCs w:val="21"/>
        </w:rPr>
        <w:t>21.投标有效期</w:t>
      </w:r>
      <w:bookmarkEnd w:id="41"/>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21.1投标有效期见</w:t>
      </w:r>
      <w:r>
        <w:rPr>
          <w:rFonts w:hint="eastAsia" w:ascii="宋体" w:hAnsi="宋体"/>
          <w:b/>
          <w:szCs w:val="21"/>
        </w:rPr>
        <w:t>招标文件前附表</w:t>
      </w:r>
      <w:r>
        <w:rPr>
          <w:rFonts w:hint="eastAsia" w:ascii="宋体" w:hAnsi="宋体"/>
          <w:szCs w:val="21"/>
        </w:rPr>
        <w:t>，在此期间投标文件对投标人具有法律约束力，以保证采购人有足够的时间完成评标、定标以及签订合同。投标有效期</w:t>
      </w:r>
      <w:r>
        <w:rPr>
          <w:rFonts w:hint="eastAsia" w:ascii="宋体" w:hAnsi="宋体" w:cs="Arial"/>
          <w:szCs w:val="21"/>
        </w:rPr>
        <w:t>从</w:t>
      </w:r>
      <w:r>
        <w:rPr>
          <w:rFonts w:hint="eastAsia"/>
        </w:rPr>
        <w:t>本章第11.1款</w:t>
      </w:r>
      <w:r>
        <w:rPr>
          <w:rFonts w:hint="eastAsia" w:ascii="宋体" w:hAnsi="宋体"/>
          <w:szCs w:val="21"/>
        </w:rPr>
        <w:t>规定的</w:t>
      </w:r>
      <w:r>
        <w:rPr>
          <w:rFonts w:hint="eastAsia" w:ascii="宋体" w:hAnsi="宋体" w:cs="Arial"/>
          <w:szCs w:val="21"/>
        </w:rPr>
        <w:t>投标截止之日起</w:t>
      </w:r>
      <w:r>
        <w:rPr>
          <w:rFonts w:hint="eastAsia" w:ascii="宋体" w:hAnsi="宋体"/>
          <w:szCs w:val="21"/>
        </w:rPr>
        <w:t>计</w:t>
      </w:r>
      <w:r>
        <w:rPr>
          <w:rFonts w:hint="eastAsia" w:ascii="宋体" w:hAnsi="宋体" w:cs="Arial"/>
          <w:szCs w:val="21"/>
        </w:rPr>
        <w:t>算。</w:t>
      </w:r>
      <w:r>
        <w:rPr>
          <w:rFonts w:hint="eastAsia" w:ascii="宋体" w:hAnsi="宋体"/>
          <w:szCs w:val="21"/>
        </w:rPr>
        <w:t>投标有效期不足的，在评标时将其视为无效投标。</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21.2 特殊情况需延长投标有效期的，采购代理机构可于投标有效期届满之前，要求投标人同意延长有效期，采购代理机构的要求与投标人的答复均应为书面形式。投标人拒绝延长的，其投标在原投标有效期期届满后将不再有效，但有权收回其投标保证金；投标人同意延长的，应相应延长其投标保证金的有效期，但不允许修改或撤回投标文件。</w:t>
      </w:r>
    </w:p>
    <w:p>
      <w:pPr>
        <w:adjustRightInd w:val="0"/>
        <w:snapToGrid w:val="0"/>
        <w:spacing w:beforeLines="50" w:line="360" w:lineRule="auto"/>
        <w:jc w:val="left"/>
        <w:rPr>
          <w:rFonts w:ascii="宋体" w:hAnsi="宋体"/>
          <w:b/>
          <w:bCs/>
          <w:szCs w:val="21"/>
        </w:rPr>
      </w:pPr>
      <w:bookmarkStart w:id="42" w:name="_Toc5435_WPSOffice_Level3"/>
      <w:r>
        <w:rPr>
          <w:rFonts w:hint="eastAsia" w:ascii="宋体" w:hAnsi="宋体"/>
          <w:b/>
          <w:bCs/>
          <w:szCs w:val="21"/>
        </w:rPr>
        <w:t>22.投标文件的签署</w:t>
      </w:r>
      <w:bookmarkEnd w:id="42"/>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22.1投标文件正本一份，副本份数见</w:t>
      </w:r>
      <w:r>
        <w:rPr>
          <w:rFonts w:hint="eastAsia" w:ascii="宋体" w:hAnsi="宋体"/>
          <w:b/>
          <w:szCs w:val="21"/>
        </w:rPr>
        <w:t>招标文件前附表。</w:t>
      </w:r>
      <w:r>
        <w:rPr>
          <w:rFonts w:hint="eastAsia" w:ascii="宋体" w:hAnsi="宋体"/>
          <w:szCs w:val="21"/>
        </w:rPr>
        <w:t>正本和副本的封面应注明“正本”或“副本”的字样，当正本和副本不一致时，以正本为准。</w:t>
      </w:r>
    </w:p>
    <w:p>
      <w:pPr>
        <w:tabs>
          <w:tab w:val="left" w:pos="570"/>
          <w:tab w:val="left" w:pos="8280"/>
        </w:tabs>
        <w:adjustRightInd w:val="0"/>
        <w:snapToGrid w:val="0"/>
        <w:spacing w:beforeLines="50" w:line="360" w:lineRule="auto"/>
        <w:ind w:right="31" w:rightChars="15" w:firstLine="420" w:firstLineChars="200"/>
        <w:jc w:val="left"/>
        <w:rPr>
          <w:rFonts w:ascii="宋体" w:hAnsi="宋体"/>
          <w:szCs w:val="21"/>
        </w:rPr>
      </w:pPr>
      <w:r>
        <w:rPr>
          <w:rFonts w:hint="eastAsia" w:ascii="宋体" w:hAnsi="宋体"/>
          <w:szCs w:val="21"/>
        </w:rPr>
        <w:t>22.2 投标文件应用不褪色的材料打印或书写，并在</w:t>
      </w:r>
      <w:r>
        <w:rPr>
          <w:rFonts w:hint="eastAsia" w:ascii="宋体" w:hAnsi="宋体"/>
          <w:bCs/>
          <w:szCs w:val="21"/>
        </w:rPr>
        <w:t>招标</w:t>
      </w:r>
      <w:r>
        <w:rPr>
          <w:rFonts w:hint="eastAsia" w:ascii="宋体" w:hAnsi="宋体"/>
          <w:szCs w:val="21"/>
        </w:rPr>
        <w:t>文件要求签字、盖章处盖单位章和由法定代表人或其委托代理人签字。投标文件中的任何行间插字、涂改和增删，改动之处应加盖单位章或由投标人的法定代表人或其授权的代理人签字确认。不按上述要求盖章和签字的，在评标时将其视为无效投标。</w:t>
      </w:r>
    </w:p>
    <w:p>
      <w:pPr>
        <w:pStyle w:val="4"/>
        <w:rPr>
          <w:rFonts w:ascii="宋体" w:hAnsi="宋体"/>
          <w:sz w:val="21"/>
          <w:szCs w:val="21"/>
        </w:rPr>
      </w:pPr>
      <w:bookmarkStart w:id="43" w:name="_Toc4218_WPSOffice_Level2"/>
      <w:bookmarkStart w:id="44" w:name="_Toc536603234"/>
      <w:r>
        <w:rPr>
          <w:rFonts w:hint="eastAsia" w:ascii="宋体" w:hAnsi="宋体"/>
          <w:sz w:val="21"/>
          <w:szCs w:val="21"/>
        </w:rPr>
        <w:t>四、投标文件的递交</w:t>
      </w:r>
      <w:bookmarkEnd w:id="43"/>
      <w:bookmarkEnd w:id="44"/>
    </w:p>
    <w:p>
      <w:pPr>
        <w:adjustRightInd w:val="0"/>
        <w:snapToGrid w:val="0"/>
        <w:spacing w:beforeLines="50" w:line="360" w:lineRule="auto"/>
        <w:jc w:val="left"/>
        <w:rPr>
          <w:rFonts w:ascii="宋体" w:hAnsi="宋体"/>
          <w:b/>
          <w:bCs/>
          <w:szCs w:val="21"/>
        </w:rPr>
      </w:pPr>
      <w:bookmarkStart w:id="45" w:name="_Toc9403_WPSOffice_Level3"/>
      <w:r>
        <w:rPr>
          <w:rFonts w:hint="eastAsia" w:ascii="宋体" w:hAnsi="宋体"/>
          <w:b/>
          <w:bCs/>
          <w:szCs w:val="21"/>
        </w:rPr>
        <w:t>23.投标文件的密封和标记</w:t>
      </w:r>
      <w:bookmarkEnd w:id="45"/>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23.1</w:t>
      </w:r>
      <w:r>
        <w:rPr>
          <w:rFonts w:hint="eastAsia" w:ascii="宋体" w:hAnsi="宋体"/>
        </w:rPr>
        <w:t>投标文件</w:t>
      </w:r>
      <w:r>
        <w:rPr>
          <w:rFonts w:hint="eastAsia" w:ascii="宋体" w:hAnsi="宋体"/>
          <w:szCs w:val="21"/>
        </w:rPr>
        <w:t>按正本和副本分别密封包装，注明“正本”或“副本”，加贴封条，并在封套的封口处加盖投标人单位章或由法定代表人或其授权的代理人签字。</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23.2投标文件封套或外包装上应载明的内容见</w:t>
      </w:r>
      <w:r>
        <w:rPr>
          <w:rFonts w:hint="eastAsia" w:ascii="宋体" w:hAnsi="宋体"/>
          <w:b/>
          <w:szCs w:val="21"/>
        </w:rPr>
        <w:t>招标文件前附表。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23.3投标文件如果未按上述规定密封和标记，采购代理机构应当拒绝接收。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23.4为方便开标唱标，投标人应将开标一览表单独密封，并在小密封袋上标明开标一览表字样，然后再装入投标文件正本密封袋中。</w:t>
      </w:r>
    </w:p>
    <w:p>
      <w:pPr>
        <w:adjustRightInd w:val="0"/>
        <w:snapToGrid w:val="0"/>
        <w:spacing w:beforeLines="50" w:line="360" w:lineRule="auto"/>
        <w:jc w:val="left"/>
        <w:rPr>
          <w:rFonts w:ascii="宋体" w:hAnsi="宋体"/>
          <w:b/>
          <w:bCs/>
          <w:szCs w:val="21"/>
        </w:rPr>
      </w:pPr>
      <w:bookmarkStart w:id="46" w:name="_Toc8618_WPSOffice_Level3"/>
      <w:r>
        <w:rPr>
          <w:rFonts w:hint="eastAsia" w:ascii="宋体" w:hAnsi="宋体"/>
          <w:b/>
          <w:bCs/>
          <w:szCs w:val="21"/>
        </w:rPr>
        <w:t>24.投标文件的递交</w:t>
      </w:r>
      <w:bookmarkEnd w:id="46"/>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24.1 投标文件不论派人送交还是通过邮寄递交，都应在本章第11.1款规定的投标截止时间之前送到</w:t>
      </w:r>
      <w:r>
        <w:rPr>
          <w:rFonts w:hint="eastAsia" w:ascii="宋体" w:hAnsi="宋体"/>
          <w:b/>
          <w:szCs w:val="21"/>
        </w:rPr>
        <w:t>招标文件前附表</w:t>
      </w:r>
      <w:r>
        <w:rPr>
          <w:rFonts w:hint="eastAsia" w:ascii="宋体" w:hAnsi="宋体"/>
          <w:szCs w:val="21"/>
        </w:rPr>
        <w:t>指定的地点。</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24.2 逾期送达或未送达指定地点的投标文件，采购代理机构应当拒绝接收。</w:t>
      </w:r>
    </w:p>
    <w:p>
      <w:pPr>
        <w:adjustRightInd w:val="0"/>
        <w:snapToGrid w:val="0"/>
        <w:spacing w:beforeLines="50" w:line="360" w:lineRule="auto"/>
        <w:jc w:val="left"/>
        <w:rPr>
          <w:rFonts w:ascii="宋体" w:hAnsi="宋体"/>
          <w:b/>
          <w:bCs/>
          <w:szCs w:val="21"/>
        </w:rPr>
      </w:pPr>
      <w:bookmarkStart w:id="47" w:name="_Toc23224_WPSOffice_Level3"/>
      <w:r>
        <w:rPr>
          <w:rFonts w:hint="eastAsia" w:ascii="宋体" w:hAnsi="宋体"/>
          <w:b/>
          <w:bCs/>
          <w:szCs w:val="21"/>
        </w:rPr>
        <w:t>25.投标文件的修改和撤回</w:t>
      </w:r>
      <w:bookmarkEnd w:id="47"/>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25.1在本章第11.1规定的投标截止时间前，投标人可以书面形式修改、补充或撤回已递交的投标文件，但应以书面形式通知采购代理机构。</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25.2修改、补充的内容为投标文件的组成部分。修改、补充的投标文件应按本章第</w:t>
      </w:r>
      <w:r>
        <w:rPr>
          <w:rFonts w:hint="eastAsia" w:ascii="宋体" w:hAnsi="宋体"/>
          <w:bCs/>
          <w:szCs w:val="21"/>
        </w:rPr>
        <w:t>22、23、24项</w:t>
      </w:r>
      <w:r>
        <w:rPr>
          <w:rFonts w:hint="eastAsia" w:ascii="宋体" w:hAnsi="宋体"/>
          <w:szCs w:val="21"/>
        </w:rPr>
        <w:t>规定编制、</w:t>
      </w:r>
      <w:r>
        <w:rPr>
          <w:rFonts w:hint="eastAsia" w:ascii="宋体" w:hAnsi="宋体"/>
          <w:bCs/>
          <w:szCs w:val="21"/>
        </w:rPr>
        <w:t>签署、</w:t>
      </w:r>
      <w:r>
        <w:rPr>
          <w:rFonts w:hint="eastAsia" w:ascii="宋体" w:hAnsi="宋体"/>
          <w:szCs w:val="21"/>
        </w:rPr>
        <w:t>密封、标记和递交，并标明“修改、补充”字样。</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25.3投标人撤回投标文件的，采购代理机构自收到投标人书面撤回通知之日起五日内退还已收取的投标保证金。</w:t>
      </w:r>
    </w:p>
    <w:p>
      <w:pPr>
        <w:pStyle w:val="37"/>
        <w:adjustRightInd w:val="0"/>
        <w:snapToGrid w:val="0"/>
        <w:spacing w:beforeLines="50" w:beforeAutospacing="0" w:after="0" w:afterAutospacing="0" w:line="360" w:lineRule="auto"/>
        <w:rPr>
          <w:rFonts w:cs="Arial"/>
          <w:b/>
          <w:sz w:val="21"/>
          <w:szCs w:val="21"/>
        </w:rPr>
      </w:pPr>
      <w:bookmarkStart w:id="48" w:name="_Toc18740_WPSOffice_Level3"/>
      <w:r>
        <w:rPr>
          <w:rStyle w:val="43"/>
          <w:rFonts w:cs="Arial"/>
          <w:sz w:val="21"/>
          <w:szCs w:val="21"/>
        </w:rPr>
        <w:t>26.</w:t>
      </w:r>
      <w:r>
        <w:rPr>
          <w:rFonts w:cs="Arial"/>
          <w:b/>
          <w:sz w:val="21"/>
          <w:szCs w:val="21"/>
        </w:rPr>
        <w:t>串通</w:t>
      </w:r>
      <w:r>
        <w:rPr>
          <w:b/>
          <w:sz w:val="21"/>
          <w:szCs w:val="21"/>
        </w:rPr>
        <w:t>投标行为</w:t>
      </w:r>
      <w:bookmarkEnd w:id="48"/>
    </w:p>
    <w:p>
      <w:pPr>
        <w:pStyle w:val="37"/>
        <w:adjustRightInd w:val="0"/>
        <w:snapToGrid w:val="0"/>
        <w:spacing w:beforeLines="50" w:beforeAutospacing="0" w:after="0" w:afterAutospacing="0" w:line="360" w:lineRule="auto"/>
        <w:ind w:firstLine="396" w:firstLineChars="200"/>
        <w:rPr>
          <w:sz w:val="21"/>
          <w:szCs w:val="21"/>
        </w:rPr>
      </w:pPr>
      <w:r>
        <w:rPr>
          <w:spacing w:val="-6"/>
          <w:sz w:val="21"/>
          <w:szCs w:val="21"/>
        </w:rPr>
        <w:t>26.1</w:t>
      </w:r>
      <w:r>
        <w:rPr>
          <w:sz w:val="21"/>
          <w:szCs w:val="21"/>
        </w:rPr>
        <w:t>投标人有以下情形之一的，可认定其有串通投标行为，中标无效：</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（1）投标人之间协商投标报价等投标文件的实质性内容；</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（2）投标人之间约定中标人；</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（3）投标人之间约定部分投标人放弃投标或者中标；</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（4）属于同一集团、协会、商会等组织成员的投标人按照该组织要求协同投标；</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（5）投标人之间为谋取中标或者排斥特定投标人而采取的其他联合行动；</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（6）不同投标人的投标文件由同一单位或者个人编制；</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（7）不同投标人委托同一单位或者个人办理投标事宜；</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（8）不同投标人的投标文件载明的项目管理成员为同一人；</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（9）不同投标人的投标文件异常一致或者投标报价呈规律性差异；</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（10）不同投标人的投标文件相互混装；</w:t>
      </w:r>
    </w:p>
    <w:p>
      <w:pPr>
        <w:pStyle w:val="37"/>
        <w:adjustRightInd w:val="0"/>
        <w:snapToGrid w:val="0"/>
        <w:spacing w:beforeLines="50" w:beforeAutospacing="0" w:after="0" w:afterAutospacing="0" w:line="360" w:lineRule="auto"/>
        <w:ind w:firstLine="420" w:firstLineChars="200"/>
        <w:rPr>
          <w:rFonts w:cs="Arial"/>
          <w:sz w:val="21"/>
          <w:szCs w:val="21"/>
        </w:rPr>
      </w:pPr>
      <w:r>
        <w:rPr>
          <w:rFonts w:cs="Arial"/>
          <w:sz w:val="21"/>
          <w:szCs w:val="21"/>
        </w:rPr>
        <w:t>（11）不同投标人的投标保证金从同一单位或者个人的账户转出；</w:t>
      </w:r>
    </w:p>
    <w:p>
      <w:pPr>
        <w:pStyle w:val="37"/>
        <w:adjustRightInd w:val="0"/>
        <w:snapToGrid w:val="0"/>
        <w:spacing w:beforeLines="50" w:beforeAutospacing="0" w:after="0" w:afterAutospacing="0" w:line="360" w:lineRule="auto"/>
        <w:ind w:firstLine="420" w:firstLineChars="200"/>
        <w:rPr>
          <w:sz w:val="21"/>
          <w:szCs w:val="21"/>
        </w:rPr>
      </w:pPr>
      <w:r>
        <w:rPr>
          <w:rFonts w:cs="Arial"/>
          <w:sz w:val="21"/>
          <w:szCs w:val="21"/>
        </w:rPr>
        <w:t>（12）</w:t>
      </w:r>
      <w:r>
        <w:rPr>
          <w:sz w:val="21"/>
          <w:szCs w:val="21"/>
        </w:rPr>
        <w:t>法律、法规或规章规定的其他串通投标行为。</w:t>
      </w:r>
    </w:p>
    <w:p>
      <w:pPr>
        <w:pStyle w:val="4"/>
        <w:rPr>
          <w:rFonts w:ascii="宋体" w:hAnsi="宋体"/>
          <w:sz w:val="21"/>
          <w:szCs w:val="21"/>
        </w:rPr>
      </w:pPr>
      <w:bookmarkStart w:id="49" w:name="_Toc30013_WPSOffice_Level2"/>
      <w:bookmarkStart w:id="50" w:name="_Toc536603235"/>
      <w:r>
        <w:rPr>
          <w:rFonts w:ascii="宋体" w:hAnsi="宋体"/>
          <w:sz w:val="21"/>
          <w:szCs w:val="21"/>
        </w:rPr>
        <w:t>五、开标和评标</w:t>
      </w:r>
      <w:bookmarkEnd w:id="49"/>
      <w:bookmarkEnd w:id="50"/>
    </w:p>
    <w:p>
      <w:pPr>
        <w:adjustRightInd w:val="0"/>
        <w:snapToGrid w:val="0"/>
        <w:spacing w:beforeLines="50" w:line="360" w:lineRule="auto"/>
        <w:jc w:val="left"/>
        <w:rPr>
          <w:rFonts w:ascii="宋体" w:hAnsi="宋体"/>
          <w:b/>
          <w:bCs/>
          <w:szCs w:val="21"/>
        </w:rPr>
      </w:pPr>
      <w:bookmarkStart w:id="51" w:name="_Toc32091_WPSOffice_Level3"/>
      <w:r>
        <w:rPr>
          <w:rFonts w:hint="eastAsia" w:ascii="宋体" w:hAnsi="宋体"/>
          <w:b/>
          <w:bCs/>
          <w:szCs w:val="21"/>
        </w:rPr>
        <w:t>27.开标</w:t>
      </w:r>
      <w:bookmarkEnd w:id="51"/>
    </w:p>
    <w:p>
      <w:pPr>
        <w:tabs>
          <w:tab w:val="left" w:pos="570"/>
          <w:tab w:val="left" w:pos="7560"/>
          <w:tab w:val="left" w:pos="7740"/>
          <w:tab w:val="left" w:pos="8280"/>
        </w:tabs>
        <w:adjustRightInd w:val="0"/>
        <w:snapToGrid w:val="0"/>
        <w:spacing w:beforeLines="50" w:line="360" w:lineRule="auto"/>
        <w:ind w:right="31" w:rightChars="15" w:firstLine="420" w:firstLineChars="200"/>
        <w:jc w:val="left"/>
        <w:rPr>
          <w:rFonts w:ascii="宋体" w:hAnsi="宋体"/>
          <w:szCs w:val="21"/>
        </w:rPr>
      </w:pPr>
      <w:r>
        <w:rPr>
          <w:rFonts w:hint="eastAsia" w:ascii="宋体" w:hAnsi="宋体"/>
          <w:szCs w:val="21"/>
        </w:rPr>
        <w:t>27.1采购代理机构在本章第11.1</w:t>
      </w:r>
      <w:r>
        <w:rPr>
          <w:rFonts w:hint="eastAsia" w:ascii="宋体" w:hAnsi="宋体" w:cs="宋体"/>
          <w:kern w:val="0"/>
          <w:szCs w:val="21"/>
          <w:lang w:val="zh-CN"/>
        </w:rPr>
        <w:t>款</w:t>
      </w:r>
      <w:r>
        <w:rPr>
          <w:rFonts w:hint="eastAsia" w:ascii="宋体" w:hAnsi="宋体"/>
          <w:szCs w:val="21"/>
        </w:rPr>
        <w:t>规定的投标截止时间(开标时间)和本章第24.1项规定的地点组织公开开标，并邀请所有投标人法定代表人或其授权的代理人参加。对参加开标的投标人代表应签名以证明其出席。</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27.2开标时，</w:t>
      </w:r>
      <w:r>
        <w:rPr>
          <w:rFonts w:hint="eastAsia" w:ascii="宋体" w:hAnsi="宋体"/>
        </w:rPr>
        <w:t>公布在投标截止时间前递交投标文件的投标人名称；</w:t>
      </w:r>
      <w:r>
        <w:rPr>
          <w:rFonts w:hint="eastAsia" w:ascii="宋体" w:hAnsi="宋体"/>
          <w:szCs w:val="21"/>
        </w:rPr>
        <w:t>由投标人或其推选的代表检查投标文件的密封情况，也可以由采购代理机构委托的公证机构检查并公证，经确认无误后，由采购代理机构当众拆封</w:t>
      </w:r>
      <w:r>
        <w:rPr>
          <w:rFonts w:ascii="宋体" w:hAnsi="宋体" w:cs="Arial"/>
          <w:szCs w:val="21"/>
        </w:rPr>
        <w:t>投标文件</w:t>
      </w:r>
      <w:r>
        <w:rPr>
          <w:rFonts w:hint="eastAsia" w:ascii="宋体" w:hAnsi="宋体"/>
          <w:szCs w:val="21"/>
        </w:rPr>
        <w:t>，宣读投标人名称、投标价格，本章第16.3</w:t>
      </w:r>
      <w:r>
        <w:rPr>
          <w:rFonts w:hint="eastAsia" w:ascii="宋体" w:hAnsi="宋体" w:cs="宋体"/>
          <w:kern w:val="0"/>
          <w:szCs w:val="21"/>
          <w:lang w:val="zh-CN"/>
        </w:rPr>
        <w:t>款</w:t>
      </w:r>
      <w:r>
        <w:rPr>
          <w:rFonts w:hint="eastAsia" w:ascii="宋体" w:hAnsi="宋体"/>
          <w:szCs w:val="21"/>
        </w:rPr>
        <w:t>规定的备选方案和</w:t>
      </w:r>
      <w:r>
        <w:rPr>
          <w:rFonts w:hint="eastAsia" w:ascii="宋体" w:hAnsi="宋体"/>
          <w:b/>
          <w:szCs w:val="21"/>
        </w:rPr>
        <w:t>招标文件前附表</w:t>
      </w:r>
      <w:r>
        <w:rPr>
          <w:rFonts w:hint="eastAsia" w:ascii="宋体" w:hAnsi="宋体"/>
          <w:szCs w:val="21"/>
        </w:rPr>
        <w:t>规定的投标文件的其他主要内容，</w:t>
      </w:r>
      <w:r>
        <w:rPr>
          <w:rFonts w:hint="eastAsia" w:ascii="宋体" w:hAnsi="宋体"/>
        </w:rPr>
        <w:t>并记录在案</w:t>
      </w:r>
      <w:r>
        <w:rPr>
          <w:rFonts w:hint="eastAsia" w:ascii="宋体" w:hAnsi="宋体"/>
          <w:szCs w:val="21"/>
        </w:rPr>
        <w:t>。</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27.3 开标时，如唱标人宣读的内容与投标文件不一致时，投标人代表应当当场提出。未宣读的投标价格和本章第16.3</w:t>
      </w:r>
      <w:r>
        <w:rPr>
          <w:rFonts w:hint="eastAsia" w:ascii="宋体" w:hAnsi="宋体" w:cs="宋体"/>
          <w:kern w:val="0"/>
          <w:szCs w:val="21"/>
          <w:lang w:val="zh-CN"/>
        </w:rPr>
        <w:t>款</w:t>
      </w:r>
      <w:r>
        <w:rPr>
          <w:rFonts w:hint="eastAsia" w:ascii="宋体" w:hAnsi="宋体"/>
          <w:szCs w:val="21"/>
        </w:rPr>
        <w:t>规定的备选方案等实质性内容，评标时不予承认。</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27.4投标人代表、采购人代表、采购代理机构代表、监督人（如果在现场）、记录人等有关人员在开标记录上签字确认</w:t>
      </w:r>
      <w:r>
        <w:rPr>
          <w:rFonts w:hint="eastAsia" w:ascii="宋体" w:hAnsi="宋体"/>
          <w:bCs/>
          <w:szCs w:val="21"/>
        </w:rPr>
        <w:t>。</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27.5 开标时，投标文件中开标一览表内容与投标文件中分项价格表内容不一致的，以开标一览表为准。</w:t>
      </w:r>
    </w:p>
    <w:p>
      <w:pPr>
        <w:adjustRightInd w:val="0"/>
        <w:snapToGrid w:val="0"/>
        <w:spacing w:beforeLines="50" w:line="360" w:lineRule="auto"/>
        <w:jc w:val="left"/>
        <w:rPr>
          <w:rFonts w:ascii="宋体" w:hAnsi="宋体"/>
          <w:b/>
          <w:bCs/>
          <w:szCs w:val="21"/>
        </w:rPr>
      </w:pPr>
      <w:bookmarkStart w:id="52" w:name="_Toc10308_WPSOffice_Level3"/>
      <w:r>
        <w:rPr>
          <w:rFonts w:hint="eastAsia" w:ascii="宋体" w:hAnsi="宋体"/>
          <w:b/>
          <w:bCs/>
          <w:szCs w:val="21"/>
        </w:rPr>
        <w:t>28.评标委员会</w:t>
      </w:r>
      <w:bookmarkEnd w:id="52"/>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28.1评标由采购人或采购代理机构依法组建的评标委员会负责，评标委员会由采购人的代表和技术、经济等方面的专家组成。</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28.2评标委员会成员与投标人存在利害关系的，应当回避。</w:t>
      </w:r>
    </w:p>
    <w:p>
      <w:pPr>
        <w:pStyle w:val="22"/>
        <w:adjustRightInd w:val="0"/>
        <w:snapToGrid w:val="0"/>
        <w:spacing w:beforeLines="50" w:line="360" w:lineRule="auto"/>
        <w:jc w:val="left"/>
        <w:rPr>
          <w:rFonts w:hAnsi="宋体"/>
          <w:b/>
          <w:bCs/>
        </w:rPr>
      </w:pPr>
      <w:bookmarkStart w:id="53" w:name="_Toc26093_WPSOffice_Level3"/>
      <w:r>
        <w:rPr>
          <w:rFonts w:hint="eastAsia" w:hAnsi="宋体"/>
          <w:b/>
          <w:bCs/>
        </w:rPr>
        <w:t>29.评标</w:t>
      </w:r>
      <w:bookmarkEnd w:id="53"/>
    </w:p>
    <w:p>
      <w:pPr>
        <w:pStyle w:val="22"/>
        <w:adjustRightInd w:val="0"/>
        <w:snapToGrid w:val="0"/>
        <w:spacing w:beforeLines="50" w:line="360" w:lineRule="auto"/>
        <w:ind w:firstLine="420" w:firstLineChars="200"/>
        <w:jc w:val="left"/>
        <w:rPr>
          <w:rFonts w:hAnsi="宋体"/>
        </w:rPr>
      </w:pPr>
      <w:r>
        <w:rPr>
          <w:rFonts w:hint="eastAsia" w:hAnsi="宋体"/>
        </w:rPr>
        <w:t>29.1 评标委员会按照第二章</w:t>
      </w:r>
      <w:r>
        <w:rPr>
          <w:rFonts w:hint="eastAsia" w:hAnsi="宋体"/>
          <w:bCs/>
        </w:rPr>
        <w:t>“评标方法及标准”</w:t>
      </w:r>
      <w:r>
        <w:rPr>
          <w:rFonts w:hint="eastAsia" w:hAnsi="宋体"/>
        </w:rPr>
        <w:t xml:space="preserve"> 规定的评标方法、评审因素、标准和程序以及有关法律、法规及规章对投标文件进行评审。</w:t>
      </w:r>
    </w:p>
    <w:p>
      <w:pPr>
        <w:pStyle w:val="4"/>
        <w:rPr>
          <w:rFonts w:ascii="宋体" w:hAnsi="宋体"/>
          <w:sz w:val="21"/>
          <w:szCs w:val="21"/>
        </w:rPr>
      </w:pPr>
      <w:bookmarkStart w:id="54" w:name="_Toc536603236"/>
      <w:bookmarkStart w:id="55" w:name="_Toc6456_WPSOffice_Level2"/>
      <w:r>
        <w:rPr>
          <w:rFonts w:hint="eastAsia" w:ascii="宋体" w:hAnsi="宋体"/>
          <w:sz w:val="21"/>
          <w:szCs w:val="21"/>
        </w:rPr>
        <w:t>六、中标信息公布与投标人质疑</w:t>
      </w:r>
      <w:bookmarkEnd w:id="54"/>
      <w:bookmarkEnd w:id="55"/>
    </w:p>
    <w:p>
      <w:pPr>
        <w:adjustRightInd w:val="0"/>
        <w:snapToGrid w:val="0"/>
        <w:spacing w:beforeLines="50" w:line="360" w:lineRule="auto"/>
        <w:jc w:val="left"/>
        <w:rPr>
          <w:rFonts w:ascii="宋体" w:hAnsi="宋体"/>
          <w:b/>
          <w:bCs/>
          <w:szCs w:val="21"/>
        </w:rPr>
      </w:pPr>
      <w:bookmarkStart w:id="56" w:name="_Toc1075_WPSOffice_Level3"/>
      <w:r>
        <w:rPr>
          <w:rFonts w:hint="eastAsia" w:ascii="宋体" w:hAnsi="宋体"/>
          <w:b/>
          <w:bCs/>
          <w:szCs w:val="21"/>
        </w:rPr>
        <w:t>30.中标信息公布</w:t>
      </w:r>
      <w:bookmarkEnd w:id="56"/>
    </w:p>
    <w:p>
      <w:pPr>
        <w:autoSpaceDE w:val="0"/>
        <w:autoSpaceDN w:val="0"/>
        <w:adjustRightInd w:val="0"/>
        <w:snapToGrid w:val="0"/>
        <w:spacing w:beforeLines="50" w:line="360" w:lineRule="auto"/>
        <w:ind w:firstLine="420" w:firstLineChars="200"/>
        <w:jc w:val="left"/>
        <w:rPr>
          <w:rFonts w:ascii="宋体" w:hAnsi="宋体"/>
          <w:szCs w:val="21"/>
        </w:rPr>
      </w:pPr>
      <w:r>
        <w:rPr>
          <w:rFonts w:hint="eastAsia" w:ascii="宋体" w:hAnsi="宋体"/>
          <w:szCs w:val="21"/>
        </w:rPr>
        <w:t>30.1中标人确定后，中标信息将在本章第8.3款指定的媒体上发布。</w:t>
      </w:r>
    </w:p>
    <w:p>
      <w:pPr>
        <w:adjustRightInd w:val="0"/>
        <w:snapToGrid w:val="0"/>
        <w:spacing w:beforeLines="50" w:line="360" w:lineRule="auto"/>
        <w:jc w:val="left"/>
        <w:rPr>
          <w:rFonts w:ascii="宋体" w:hAnsi="宋体"/>
          <w:b/>
          <w:bCs/>
          <w:szCs w:val="21"/>
        </w:rPr>
      </w:pPr>
      <w:bookmarkStart w:id="57" w:name="_Toc6047_WPSOffice_Level3"/>
      <w:r>
        <w:rPr>
          <w:rFonts w:hint="eastAsia" w:ascii="宋体" w:hAnsi="宋体"/>
          <w:b/>
          <w:bCs/>
          <w:szCs w:val="21"/>
        </w:rPr>
        <w:t>31.</w:t>
      </w:r>
      <w:r>
        <w:rPr>
          <w:rFonts w:hint="eastAsia" w:ascii="宋体" w:hAnsi="宋体"/>
          <w:b/>
          <w:szCs w:val="21"/>
        </w:rPr>
        <w:t>投标人</w:t>
      </w:r>
      <w:r>
        <w:rPr>
          <w:rFonts w:hint="eastAsia" w:ascii="宋体" w:hAnsi="宋体"/>
          <w:b/>
          <w:bCs/>
          <w:szCs w:val="21"/>
        </w:rPr>
        <w:t>质疑</w:t>
      </w:r>
      <w:bookmarkEnd w:id="57"/>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31.1供应商对政府采购活动事项有疑问的，可以向采购人或采购代理机构提出询问。采购人或采购代理机构将在三个工作日内作出答复。</w:t>
      </w:r>
    </w:p>
    <w:p>
      <w:pPr>
        <w:adjustRightInd w:val="0"/>
        <w:snapToGrid w:val="0"/>
        <w:spacing w:beforeLines="50" w:line="360" w:lineRule="auto"/>
        <w:ind w:firstLine="420" w:firstLineChars="200"/>
        <w:jc w:val="left"/>
        <w:rPr>
          <w:rFonts w:ascii="宋体" w:hAnsi="宋体"/>
        </w:rPr>
      </w:pPr>
      <w:r>
        <w:rPr>
          <w:rFonts w:hint="eastAsia" w:ascii="宋体" w:hAnsi="宋体"/>
          <w:szCs w:val="21"/>
        </w:rPr>
        <w:t>31.2投标人若认为招标文件、采购过程和中标结果使自己的权益受到损害</w:t>
      </w:r>
      <w:r>
        <w:rPr>
          <w:rFonts w:hint="eastAsia" w:ascii="宋体" w:hAnsi="宋体"/>
        </w:rPr>
        <w:t>的，应当在下列时间内以书面形式向采购人或采购代理机构提出：</w:t>
      </w:r>
    </w:p>
    <w:p>
      <w:pPr>
        <w:adjustRightInd w:val="0"/>
        <w:snapToGrid w:val="0"/>
        <w:spacing w:beforeLines="50" w:line="360" w:lineRule="auto"/>
        <w:ind w:firstLine="420" w:firstLineChars="200"/>
        <w:jc w:val="left"/>
        <w:rPr>
          <w:rFonts w:ascii="宋体" w:hAnsi="宋体"/>
        </w:rPr>
      </w:pPr>
      <w:r>
        <w:rPr>
          <w:rFonts w:hint="eastAsia" w:ascii="宋体" w:hAnsi="宋体"/>
        </w:rPr>
        <w:t>（1）关于招标文件的质疑，应从招标文件发出之日起七个工作日内提出。</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（2）关于采购过程的质疑，应在采购程序环节结束之日起七个工作日内提出。</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（3）关于中标结果的质疑，应在中标结果信息发布后七个工作日内提出。</w:t>
      </w:r>
    </w:p>
    <w:p>
      <w:pPr>
        <w:pStyle w:val="22"/>
        <w:adjustRightInd w:val="0"/>
        <w:snapToGrid w:val="0"/>
        <w:spacing w:beforeLines="50" w:line="360" w:lineRule="auto"/>
        <w:ind w:firstLine="420" w:firstLineChars="200"/>
        <w:jc w:val="left"/>
        <w:rPr>
          <w:rFonts w:hAnsi="宋体"/>
        </w:rPr>
      </w:pPr>
      <w:r>
        <w:rPr>
          <w:rFonts w:hint="eastAsia" w:hAnsi="宋体"/>
        </w:rPr>
        <w:t>31.3 投标人提出质疑的，应提供质疑书原件。采购人或采购代理机构应当向质疑供应商签收回执。</w:t>
      </w:r>
    </w:p>
    <w:p>
      <w:pPr>
        <w:pStyle w:val="22"/>
        <w:adjustRightInd w:val="0"/>
        <w:snapToGrid w:val="0"/>
        <w:spacing w:beforeLines="50" w:line="360" w:lineRule="auto"/>
        <w:ind w:firstLine="420" w:firstLineChars="200"/>
        <w:jc w:val="left"/>
        <w:rPr>
          <w:rFonts w:hAnsi="宋体"/>
        </w:rPr>
      </w:pPr>
      <w:r>
        <w:rPr>
          <w:rFonts w:hint="eastAsia" w:hAnsi="宋体"/>
        </w:rPr>
        <w:t>31.4 质疑书应当包括下列内容：</w:t>
      </w:r>
    </w:p>
    <w:p>
      <w:pPr>
        <w:pStyle w:val="22"/>
        <w:adjustRightInd w:val="0"/>
        <w:snapToGrid w:val="0"/>
        <w:spacing w:beforeLines="50" w:line="360" w:lineRule="auto"/>
        <w:ind w:firstLine="420" w:firstLineChars="200"/>
        <w:jc w:val="left"/>
        <w:rPr>
          <w:rFonts w:hAnsi="宋体"/>
        </w:rPr>
      </w:pPr>
      <w:r>
        <w:rPr>
          <w:rFonts w:hint="eastAsia" w:hAnsi="宋体"/>
        </w:rPr>
        <w:t>（1）质疑供应商的名称、地址及有效联系方式；</w:t>
      </w:r>
    </w:p>
    <w:p>
      <w:pPr>
        <w:pStyle w:val="22"/>
        <w:adjustRightInd w:val="0"/>
        <w:snapToGrid w:val="0"/>
        <w:spacing w:beforeLines="50" w:line="360" w:lineRule="auto"/>
        <w:ind w:firstLine="420" w:firstLineChars="200"/>
        <w:jc w:val="left"/>
        <w:rPr>
          <w:rFonts w:hAnsi="宋体"/>
        </w:rPr>
      </w:pPr>
      <w:r>
        <w:rPr>
          <w:rFonts w:hint="eastAsia" w:hAnsi="宋体"/>
        </w:rPr>
        <w:t>（2）质疑事项；</w:t>
      </w:r>
    </w:p>
    <w:p>
      <w:pPr>
        <w:pStyle w:val="22"/>
        <w:adjustRightInd w:val="0"/>
        <w:snapToGrid w:val="0"/>
        <w:spacing w:beforeLines="50" w:line="360" w:lineRule="auto"/>
        <w:ind w:firstLine="420" w:firstLineChars="200"/>
        <w:jc w:val="left"/>
        <w:rPr>
          <w:rFonts w:hAnsi="宋体"/>
        </w:rPr>
      </w:pPr>
      <w:r>
        <w:rPr>
          <w:rFonts w:hint="eastAsia" w:hAnsi="宋体"/>
        </w:rPr>
        <w:t>（3）事实依据及相关证明材料；</w:t>
      </w:r>
    </w:p>
    <w:p>
      <w:pPr>
        <w:pStyle w:val="22"/>
        <w:adjustRightInd w:val="0"/>
        <w:snapToGrid w:val="0"/>
        <w:spacing w:beforeLines="50" w:line="360" w:lineRule="auto"/>
        <w:ind w:firstLine="420" w:firstLineChars="200"/>
        <w:jc w:val="left"/>
        <w:rPr>
          <w:rFonts w:hAnsi="宋体"/>
        </w:rPr>
      </w:pPr>
      <w:r>
        <w:rPr>
          <w:rFonts w:hint="eastAsia" w:hAnsi="宋体"/>
        </w:rPr>
        <w:t>（4）相关请求及主张。</w:t>
      </w:r>
    </w:p>
    <w:p>
      <w:pPr>
        <w:pStyle w:val="22"/>
        <w:adjustRightInd w:val="0"/>
        <w:snapToGrid w:val="0"/>
        <w:spacing w:beforeLines="50" w:line="360" w:lineRule="auto"/>
        <w:ind w:firstLine="420" w:firstLineChars="200"/>
        <w:jc w:val="left"/>
        <w:rPr>
          <w:rFonts w:hAnsi="宋体"/>
        </w:rPr>
      </w:pPr>
      <w:r>
        <w:rPr>
          <w:rFonts w:hint="eastAsia" w:hAnsi="宋体"/>
        </w:rPr>
        <w:t>31.5 质疑书应当由投标人法定代表人或其授权的代理人签字并加盖投标人单位章，质疑书由授权的代理人签字的应附投标人法定代表人委托授权书。</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31.6 采购人或采购代理机构将在签收回执之日起七个工作日内作出书面答复，并以书面形式通知质疑投标人和其他有关的投标人。</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31.7 投标人对采购人或采购代理机构的答复不满意，或采购人或采购代理机构未在规定的期限作出答复的，可在答复期满后十五个工作日内，按政府采购相关法律法规规章的规定及程序，向同级财政部门提出投诉。</w:t>
      </w:r>
    </w:p>
    <w:p>
      <w:pPr>
        <w:pStyle w:val="4"/>
        <w:rPr>
          <w:rFonts w:ascii="宋体" w:hAnsi="宋体"/>
          <w:sz w:val="21"/>
          <w:szCs w:val="21"/>
        </w:rPr>
      </w:pPr>
      <w:bookmarkStart w:id="58" w:name="_Toc30581_WPSOffice_Level2"/>
      <w:bookmarkStart w:id="59" w:name="_Toc536603237"/>
      <w:r>
        <w:rPr>
          <w:rFonts w:hint="eastAsia" w:ascii="宋体" w:hAnsi="宋体"/>
          <w:sz w:val="21"/>
          <w:szCs w:val="21"/>
        </w:rPr>
        <w:t>七、合同签订</w:t>
      </w:r>
      <w:bookmarkEnd w:id="58"/>
      <w:bookmarkEnd w:id="59"/>
    </w:p>
    <w:p>
      <w:pPr>
        <w:adjustRightInd w:val="0"/>
        <w:snapToGrid w:val="0"/>
        <w:spacing w:beforeLines="50" w:line="360" w:lineRule="auto"/>
        <w:jc w:val="left"/>
        <w:rPr>
          <w:rFonts w:ascii="宋体" w:hAnsi="宋体"/>
          <w:b/>
          <w:bCs/>
          <w:szCs w:val="21"/>
        </w:rPr>
      </w:pPr>
      <w:bookmarkStart w:id="60" w:name="_Toc1040_WPSOffice_Level3"/>
      <w:r>
        <w:rPr>
          <w:rFonts w:hint="eastAsia" w:ascii="宋体" w:hAnsi="宋体"/>
          <w:b/>
          <w:bCs/>
          <w:szCs w:val="21"/>
        </w:rPr>
        <w:t>32.中标结果通知</w:t>
      </w:r>
      <w:bookmarkEnd w:id="60"/>
    </w:p>
    <w:p>
      <w:pPr>
        <w:adjustRightInd w:val="0"/>
        <w:snapToGrid w:val="0"/>
        <w:spacing w:beforeLines="50" w:line="360" w:lineRule="auto"/>
        <w:ind w:firstLine="420" w:firstLineChars="200"/>
        <w:rPr>
          <w:rFonts w:ascii="宋体" w:hAnsi="宋体"/>
          <w:szCs w:val="21"/>
        </w:rPr>
      </w:pPr>
      <w:r>
        <w:rPr>
          <w:rFonts w:hint="eastAsia" w:ascii="宋体" w:hAnsi="宋体"/>
          <w:szCs w:val="21"/>
        </w:rPr>
        <w:t>32.1 在本章第20.1</w:t>
      </w:r>
      <w:r>
        <w:rPr>
          <w:rFonts w:hint="eastAsia" w:ascii="宋体" w:hAnsi="宋体" w:cs="宋体"/>
          <w:kern w:val="0"/>
          <w:szCs w:val="21"/>
          <w:lang w:val="zh-CN"/>
        </w:rPr>
        <w:t>款</w:t>
      </w:r>
      <w:r>
        <w:rPr>
          <w:rFonts w:hint="eastAsia" w:ascii="宋体" w:hAnsi="宋体"/>
          <w:szCs w:val="21"/>
        </w:rPr>
        <w:t xml:space="preserve">规定的投标有效期内，采购代理机构将以书面形式向中标供应商发出《中标通知书》。中标通知书对采购人和中标供应商具有同等法律效力。  </w:t>
      </w:r>
    </w:p>
    <w:p>
      <w:pPr>
        <w:adjustRightInd w:val="0"/>
        <w:snapToGrid w:val="0"/>
        <w:spacing w:beforeLines="50" w:line="360" w:lineRule="auto"/>
        <w:rPr>
          <w:rFonts w:ascii="宋体" w:hAnsi="宋体" w:cs="宋体"/>
          <w:b/>
          <w:kern w:val="0"/>
          <w:szCs w:val="21"/>
        </w:rPr>
      </w:pPr>
      <w:bookmarkStart w:id="61" w:name="_Toc10905_WPSOffice_Level3"/>
      <w:r>
        <w:rPr>
          <w:rFonts w:hint="eastAsia" w:ascii="宋体" w:hAnsi="宋体" w:cs="宋体"/>
          <w:b/>
          <w:kern w:val="0"/>
          <w:szCs w:val="21"/>
        </w:rPr>
        <w:t>33.履约担保</w:t>
      </w:r>
      <w:bookmarkEnd w:id="61"/>
    </w:p>
    <w:p>
      <w:pPr>
        <w:adjustRightInd w:val="0"/>
        <w:snapToGrid w:val="0"/>
        <w:spacing w:beforeLines="50" w:line="360" w:lineRule="auto"/>
        <w:ind w:firstLine="420" w:firstLineChars="200"/>
        <w:rPr>
          <w:rFonts w:ascii="宋体" w:hAnsi="宋体"/>
          <w:szCs w:val="21"/>
        </w:rPr>
      </w:pPr>
      <w:r>
        <w:rPr>
          <w:rFonts w:hint="eastAsia" w:ascii="宋体" w:hAnsi="宋体" w:cs="宋体"/>
          <w:kern w:val="0"/>
          <w:szCs w:val="21"/>
        </w:rPr>
        <w:t>33.1</w:t>
      </w:r>
      <w:r>
        <w:rPr>
          <w:rFonts w:hint="eastAsia" w:ascii="宋体" w:hAnsi="宋体"/>
          <w:szCs w:val="21"/>
        </w:rPr>
        <w:t>中标人在收到采购代理机构的《中标通知书》后十日内，需向采购人提交履约担保的，应按照</w:t>
      </w:r>
      <w:r>
        <w:rPr>
          <w:rFonts w:hint="eastAsia" w:ascii="宋体" w:hAnsi="宋体"/>
          <w:b/>
          <w:szCs w:val="21"/>
        </w:rPr>
        <w:t>招标文件前附表</w:t>
      </w:r>
      <w:r>
        <w:rPr>
          <w:rFonts w:hint="eastAsia" w:ascii="宋体" w:hAnsi="宋体"/>
          <w:szCs w:val="21"/>
        </w:rPr>
        <w:t>的规定提交。联合体中标的，履约担保由联合体各方或联合体中牵头人的名义提交。</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33.2 中标人</w:t>
      </w:r>
      <w:r>
        <w:rPr>
          <w:rFonts w:hint="eastAsia" w:ascii="宋体" w:hAnsi="宋体"/>
          <w:spacing w:val="4"/>
          <w:szCs w:val="21"/>
        </w:rPr>
        <w:t>没有按照本章第33.1</w:t>
      </w:r>
      <w:r>
        <w:rPr>
          <w:rFonts w:hint="eastAsia" w:ascii="宋体" w:hAnsi="宋体" w:cs="宋体"/>
          <w:kern w:val="0"/>
          <w:szCs w:val="21"/>
          <w:lang w:val="zh-CN"/>
        </w:rPr>
        <w:t>款</w:t>
      </w:r>
      <w:r>
        <w:rPr>
          <w:rFonts w:hint="eastAsia" w:ascii="宋体" w:hAnsi="宋体"/>
          <w:spacing w:val="4"/>
          <w:szCs w:val="21"/>
        </w:rPr>
        <w:t>规定</w:t>
      </w:r>
      <w:r>
        <w:rPr>
          <w:rFonts w:hint="eastAsia" w:ascii="宋体" w:hAnsi="宋体"/>
          <w:szCs w:val="21"/>
        </w:rPr>
        <w:t>提交履约担保的</w:t>
      </w:r>
      <w:r>
        <w:rPr>
          <w:rFonts w:hint="eastAsia" w:ascii="宋体" w:hAnsi="宋体"/>
          <w:spacing w:val="4"/>
          <w:szCs w:val="21"/>
        </w:rPr>
        <w:t>，视为放弃中标，</w:t>
      </w:r>
      <w:r>
        <w:rPr>
          <w:rFonts w:hint="eastAsia" w:ascii="宋体" w:hAnsi="宋体"/>
          <w:spacing w:val="2"/>
          <w:szCs w:val="21"/>
        </w:rPr>
        <w:t>其投标保证金不予退还。</w:t>
      </w:r>
    </w:p>
    <w:p>
      <w:pPr>
        <w:adjustRightInd w:val="0"/>
        <w:snapToGrid w:val="0"/>
        <w:spacing w:beforeLines="50" w:line="360" w:lineRule="auto"/>
        <w:jc w:val="left"/>
        <w:rPr>
          <w:rFonts w:ascii="宋体" w:hAnsi="宋体"/>
          <w:b/>
          <w:bCs/>
          <w:szCs w:val="21"/>
        </w:rPr>
      </w:pPr>
      <w:bookmarkStart w:id="62" w:name="_Toc8160_WPSOffice_Level3"/>
      <w:r>
        <w:rPr>
          <w:rFonts w:hint="eastAsia" w:ascii="宋体" w:hAnsi="宋体"/>
          <w:b/>
          <w:bCs/>
          <w:szCs w:val="21"/>
        </w:rPr>
        <w:t>34.签订合同</w:t>
      </w:r>
      <w:bookmarkEnd w:id="62"/>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34.1 采购人应自中标通知书发出之日起三十日内，按中标通知书指定的时间、地点与中标人签订政府采购合同。</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34.2 招标文件、中标人的投标文件均为签订合同的依据。</w:t>
      </w:r>
    </w:p>
    <w:p>
      <w:pPr>
        <w:adjustRightInd w:val="0"/>
        <w:snapToGrid w:val="0"/>
        <w:spacing w:beforeLines="50" w:line="360" w:lineRule="auto"/>
        <w:ind w:firstLine="420" w:firstLineChars="200"/>
        <w:jc w:val="left"/>
        <w:rPr>
          <w:rFonts w:ascii="宋体" w:hAnsi="宋体"/>
          <w:bCs/>
          <w:szCs w:val="21"/>
        </w:rPr>
      </w:pPr>
      <w:r>
        <w:rPr>
          <w:rFonts w:hint="eastAsia" w:ascii="宋体" w:hAnsi="宋体"/>
          <w:szCs w:val="21"/>
        </w:rPr>
        <w:t>34.3 中标人</w:t>
      </w:r>
      <w:r>
        <w:rPr>
          <w:rFonts w:hint="eastAsia" w:ascii="宋体" w:hAnsi="宋体"/>
          <w:bCs/>
          <w:szCs w:val="21"/>
        </w:rPr>
        <w:t>应当按照合同约定履行义务。</w:t>
      </w:r>
      <w:r>
        <w:rPr>
          <w:rFonts w:hint="eastAsia" w:ascii="宋体" w:hAnsi="宋体"/>
          <w:szCs w:val="21"/>
        </w:rPr>
        <w:t>中标人</w:t>
      </w:r>
      <w:r>
        <w:rPr>
          <w:rFonts w:hint="eastAsia" w:ascii="宋体" w:hAnsi="宋体"/>
          <w:bCs/>
          <w:szCs w:val="21"/>
        </w:rPr>
        <w:t>不得向他人分包中标项目（</w:t>
      </w:r>
      <w:r>
        <w:rPr>
          <w:rFonts w:hint="eastAsia" w:ascii="宋体" w:hAnsi="宋体"/>
          <w:szCs w:val="21"/>
        </w:rPr>
        <w:t>政府采购支持中小企业发展等政策规定的除外</w:t>
      </w:r>
      <w:r>
        <w:rPr>
          <w:rFonts w:hint="eastAsia" w:ascii="宋体" w:hAnsi="宋体"/>
          <w:bCs/>
          <w:szCs w:val="21"/>
        </w:rPr>
        <w:t>）。</w:t>
      </w:r>
    </w:p>
    <w:p>
      <w:pPr>
        <w:adjustRightInd w:val="0"/>
        <w:snapToGrid w:val="0"/>
        <w:spacing w:beforeLines="50" w:line="360" w:lineRule="auto"/>
        <w:jc w:val="left"/>
        <w:rPr>
          <w:rFonts w:ascii="宋体" w:hAnsi="宋体"/>
          <w:b/>
          <w:bCs/>
          <w:szCs w:val="21"/>
        </w:rPr>
      </w:pPr>
      <w:bookmarkStart w:id="63" w:name="_Toc23451_WPSOffice_Level3"/>
      <w:r>
        <w:rPr>
          <w:rFonts w:hint="eastAsia" w:ascii="宋体" w:hAnsi="宋体"/>
          <w:b/>
          <w:bCs/>
          <w:szCs w:val="21"/>
        </w:rPr>
        <w:t>35.</w:t>
      </w:r>
      <w:r>
        <w:rPr>
          <w:rFonts w:hint="eastAsia" w:ascii="宋体" w:hAnsi="宋体"/>
          <w:b/>
          <w:szCs w:val="21"/>
        </w:rPr>
        <w:t xml:space="preserve"> 政府采购合同履行中</w:t>
      </w:r>
      <w:r>
        <w:rPr>
          <w:rFonts w:hint="eastAsia" w:ascii="宋体" w:hAnsi="宋体"/>
          <w:b/>
          <w:bCs/>
          <w:szCs w:val="21"/>
        </w:rPr>
        <w:t>数量的变更</w:t>
      </w:r>
      <w:bookmarkEnd w:id="63"/>
    </w:p>
    <w:p>
      <w:pPr>
        <w:pStyle w:val="22"/>
        <w:adjustRightInd w:val="0"/>
        <w:snapToGrid w:val="0"/>
        <w:spacing w:beforeLines="50" w:line="360" w:lineRule="auto"/>
        <w:ind w:firstLine="420" w:firstLineChars="200"/>
        <w:jc w:val="left"/>
        <w:rPr>
          <w:rFonts w:hAnsi="宋体"/>
        </w:rPr>
      </w:pPr>
      <w:r>
        <w:rPr>
          <w:rFonts w:hint="eastAsia" w:hAnsi="宋体"/>
        </w:rPr>
        <w:t>35.1政府采购合同履行中，采购人需追加与合同标的相同的货物服务的，在不改变合同其他条款的前提下，可以与中标人协商签订补充合同，但所有补充合同的采购金额不得超过原合同采购金额的百分之十。</w:t>
      </w:r>
    </w:p>
    <w:p>
      <w:pPr>
        <w:pStyle w:val="4"/>
        <w:rPr>
          <w:rFonts w:ascii="宋体" w:hAnsi="宋体"/>
          <w:sz w:val="21"/>
          <w:szCs w:val="21"/>
        </w:rPr>
      </w:pPr>
      <w:bookmarkStart w:id="64" w:name="_Toc4903_WPSOffice_Level2"/>
      <w:bookmarkStart w:id="65" w:name="_Toc536603238"/>
      <w:r>
        <w:rPr>
          <w:rFonts w:hint="eastAsia" w:ascii="宋体" w:hAnsi="宋体"/>
          <w:sz w:val="21"/>
          <w:szCs w:val="21"/>
        </w:rPr>
        <w:t>八.特殊情形的规定</w:t>
      </w:r>
      <w:bookmarkEnd w:id="64"/>
      <w:bookmarkEnd w:id="65"/>
    </w:p>
    <w:p>
      <w:pPr>
        <w:pStyle w:val="22"/>
        <w:adjustRightInd w:val="0"/>
        <w:snapToGrid w:val="0"/>
        <w:spacing w:beforeLines="50" w:line="360" w:lineRule="auto"/>
        <w:jc w:val="left"/>
        <w:rPr>
          <w:rFonts w:hAnsi="宋体"/>
          <w:b/>
        </w:rPr>
      </w:pPr>
      <w:bookmarkStart w:id="66" w:name="_Toc13305_WPSOffice_Level3"/>
      <w:r>
        <w:rPr>
          <w:rFonts w:hint="eastAsia" w:hAnsi="宋体"/>
          <w:b/>
        </w:rPr>
        <w:t>36.特殊情形</w:t>
      </w:r>
      <w:bookmarkEnd w:id="66"/>
    </w:p>
    <w:p>
      <w:pPr>
        <w:pStyle w:val="22"/>
        <w:adjustRightInd w:val="0"/>
        <w:snapToGrid w:val="0"/>
        <w:spacing w:beforeLines="50" w:line="360" w:lineRule="auto"/>
        <w:ind w:firstLine="420" w:firstLineChars="200"/>
        <w:jc w:val="left"/>
        <w:rPr>
          <w:rFonts w:hAnsi="宋体"/>
        </w:rPr>
      </w:pPr>
      <w:r>
        <w:rPr>
          <w:rFonts w:hint="eastAsia" w:hAnsi="宋体"/>
        </w:rPr>
        <w:t>36.1特殊情形是指：在本章第11.1款规定的投标截止时间</w:t>
      </w:r>
      <w:r>
        <w:rPr>
          <w:rFonts w:hint="eastAsia" w:hAnsi="宋体" w:cs="宋体"/>
          <w:kern w:val="0"/>
          <w:lang w:val="zh-CN"/>
        </w:rPr>
        <w:t>递交投标文件或者经评审实质性响应招标文件要求的供应商只有两家的情形。</w:t>
      </w:r>
    </w:p>
    <w:p>
      <w:pPr>
        <w:pStyle w:val="22"/>
        <w:adjustRightInd w:val="0"/>
        <w:snapToGrid w:val="0"/>
        <w:spacing w:beforeLines="50" w:line="360" w:lineRule="auto"/>
        <w:jc w:val="left"/>
        <w:rPr>
          <w:rFonts w:hAnsi="宋体"/>
          <w:b/>
        </w:rPr>
      </w:pPr>
      <w:bookmarkStart w:id="67" w:name="_Toc9236_WPSOffice_Level3"/>
      <w:r>
        <w:rPr>
          <w:rFonts w:hint="eastAsia" w:hAnsi="宋体"/>
          <w:b/>
        </w:rPr>
        <w:t>37.特殊情形规定</w:t>
      </w:r>
      <w:bookmarkEnd w:id="67"/>
    </w:p>
    <w:p>
      <w:pPr>
        <w:spacing w:line="360" w:lineRule="auto"/>
        <w:ind w:firstLine="420" w:firstLineChars="200"/>
        <w:rPr>
          <w:rFonts w:ascii="宋体" w:hAnsi="宋体"/>
          <w:szCs w:val="21"/>
        </w:rPr>
      </w:pPr>
      <w:r>
        <w:rPr>
          <w:rFonts w:hint="eastAsia" w:ascii="宋体" w:hAnsi="宋体"/>
          <w:szCs w:val="21"/>
        </w:rPr>
        <w:t>37.1</w:t>
      </w:r>
      <w:r>
        <w:rPr>
          <w:rFonts w:hint="eastAsia" w:hAnsi="宋体"/>
        </w:rPr>
        <w:t xml:space="preserve"> </w:t>
      </w:r>
      <w:r>
        <w:rPr>
          <w:rFonts w:hint="eastAsia" w:ascii="宋体" w:hAnsi="宋体"/>
          <w:szCs w:val="21"/>
        </w:rPr>
        <w:t>符合本章第36.1款情形的，经同级财政部门批准后在不变更供应商资格条件和采购需求的前提下与这两家供应商进行竞争性谈判。</w:t>
      </w:r>
    </w:p>
    <w:p>
      <w:pPr>
        <w:spacing w:line="360" w:lineRule="auto"/>
        <w:ind w:firstLine="420" w:firstLineChars="200"/>
        <w:rPr>
          <w:rFonts w:ascii="宋体" w:hAnsi="宋体"/>
          <w:szCs w:val="21"/>
        </w:rPr>
      </w:pPr>
      <w:r>
        <w:rPr>
          <w:rFonts w:hint="eastAsia" w:ascii="宋体" w:hAnsi="宋体"/>
          <w:szCs w:val="21"/>
        </w:rPr>
        <w:t>37.2 符合本章第36.1款情形未进行资格性、符合性检查的，按第二章“评标方法及标准”第2.1款规定进行资格性、符合性审查。当符合招标文件第二章“评标方法及标准”第2.1款规定的供应商少于两家（不含两家）时，重新采购。</w:t>
      </w:r>
    </w:p>
    <w:p>
      <w:pPr>
        <w:spacing w:line="360" w:lineRule="auto"/>
        <w:ind w:firstLine="420" w:firstLineChars="200"/>
        <w:rPr>
          <w:rFonts w:ascii="宋体" w:hAnsi="宋体"/>
          <w:szCs w:val="21"/>
        </w:rPr>
      </w:pPr>
      <w:r>
        <w:rPr>
          <w:rFonts w:hint="eastAsia" w:ascii="宋体" w:hAnsi="宋体"/>
          <w:szCs w:val="21"/>
        </w:rPr>
        <w:t>37.3 谈判：供应商应按谈判小组的书面通知参加谈判、递交最终报价。</w:t>
      </w:r>
    </w:p>
    <w:p>
      <w:pPr>
        <w:spacing w:line="360" w:lineRule="auto"/>
        <w:ind w:firstLine="420" w:firstLineChars="200"/>
        <w:rPr>
          <w:rFonts w:ascii="宋体" w:hAnsi="宋体"/>
          <w:szCs w:val="21"/>
        </w:rPr>
      </w:pPr>
      <w:r>
        <w:rPr>
          <w:rFonts w:hint="eastAsia" w:ascii="宋体" w:hAnsi="宋体"/>
          <w:szCs w:val="21"/>
        </w:rPr>
        <w:t>37.4 评审标准：</w:t>
      </w:r>
    </w:p>
    <w:p>
      <w:pPr>
        <w:spacing w:line="360" w:lineRule="auto"/>
        <w:ind w:firstLine="420" w:firstLineChars="200"/>
        <w:rPr>
          <w:rFonts w:ascii="宋体" w:hAnsi="宋体"/>
          <w:szCs w:val="21"/>
        </w:rPr>
      </w:pPr>
      <w:r>
        <w:rPr>
          <w:rFonts w:hint="eastAsia" w:ascii="宋体" w:hAnsi="宋体"/>
          <w:szCs w:val="21"/>
        </w:rPr>
        <w:t>（1）按满足采购需求，质量、服务相等且报价最低的原则，确定供应商。</w:t>
      </w:r>
    </w:p>
    <w:p>
      <w:pPr>
        <w:spacing w:line="360" w:lineRule="auto"/>
        <w:ind w:firstLine="420" w:firstLineChars="200"/>
        <w:rPr>
          <w:rFonts w:ascii="宋体" w:hAnsi="宋体"/>
          <w:szCs w:val="21"/>
        </w:rPr>
      </w:pPr>
      <w:r>
        <w:rPr>
          <w:rFonts w:hint="eastAsia" w:ascii="宋体" w:hAnsi="宋体"/>
          <w:szCs w:val="21"/>
        </w:rPr>
        <w:t>（2）评审供应商报价时，按第二章“评标方法及标准”中关于最低评标价法的价格评审的规定评审。</w:t>
      </w:r>
    </w:p>
    <w:p>
      <w:pPr>
        <w:pStyle w:val="4"/>
        <w:rPr>
          <w:rFonts w:ascii="宋体" w:hAnsi="宋体"/>
          <w:sz w:val="21"/>
          <w:szCs w:val="21"/>
        </w:rPr>
      </w:pPr>
      <w:bookmarkStart w:id="68" w:name="_Toc536603239"/>
      <w:bookmarkStart w:id="69" w:name="_Toc8515_WPSOffice_Level2"/>
      <w:r>
        <w:rPr>
          <w:rFonts w:hint="eastAsia" w:ascii="宋体" w:hAnsi="宋体"/>
          <w:sz w:val="21"/>
          <w:szCs w:val="21"/>
        </w:rPr>
        <w:t>九.其他规定</w:t>
      </w:r>
      <w:bookmarkEnd w:id="68"/>
      <w:bookmarkEnd w:id="69"/>
    </w:p>
    <w:p>
      <w:pPr>
        <w:adjustRightInd w:val="0"/>
        <w:snapToGrid w:val="0"/>
        <w:spacing w:line="360" w:lineRule="auto"/>
        <w:ind w:firstLine="422" w:firstLineChars="200"/>
        <w:jc w:val="left"/>
        <w:rPr>
          <w:rFonts w:ascii="宋体" w:hAnsi="宋体"/>
          <w:b/>
          <w:szCs w:val="21"/>
        </w:rPr>
      </w:pPr>
      <w:bookmarkStart w:id="70" w:name="_Toc12705_WPSOffice_Level3"/>
      <w:r>
        <w:rPr>
          <w:rFonts w:hint="eastAsia" w:ascii="宋体" w:hAnsi="宋体"/>
          <w:b/>
          <w:bCs/>
          <w:szCs w:val="21"/>
        </w:rPr>
        <w:t>38.</w:t>
      </w:r>
      <w:r>
        <w:rPr>
          <w:rFonts w:hint="eastAsia" w:ascii="宋体" w:hAnsi="宋体"/>
          <w:b/>
          <w:szCs w:val="21"/>
        </w:rPr>
        <w:t>政策与法规</w:t>
      </w:r>
      <w:bookmarkEnd w:id="70"/>
    </w:p>
    <w:p>
      <w:pPr>
        <w:adjustRightInd w:val="0"/>
        <w:snapToGrid w:val="0"/>
        <w:spacing w:line="360" w:lineRule="auto"/>
        <w:ind w:firstLine="420" w:firstLineChars="200"/>
        <w:jc w:val="left"/>
        <w:rPr>
          <w:rFonts w:ascii="宋体" w:hAnsi="宋体"/>
          <w:szCs w:val="21"/>
        </w:rPr>
      </w:pPr>
      <w:r>
        <w:rPr>
          <w:rFonts w:hint="eastAsia" w:ascii="宋体" w:hAnsi="宋体"/>
          <w:szCs w:val="21"/>
        </w:rPr>
        <w:t>38.1 法律、法规、规章和省级以上财政部门涉及政府采购政策功能及其他规定，见</w:t>
      </w:r>
      <w:r>
        <w:rPr>
          <w:rFonts w:hint="eastAsia" w:ascii="宋体" w:hAnsi="宋体"/>
          <w:b/>
          <w:szCs w:val="21"/>
        </w:rPr>
        <w:t>招标文件前附表</w:t>
      </w:r>
      <w:r>
        <w:rPr>
          <w:rFonts w:hint="eastAsia" w:ascii="宋体" w:hAnsi="宋体"/>
          <w:szCs w:val="21"/>
        </w:rPr>
        <w:t>。评标委员会应根据招标文件规定，优先推荐节能环保产品，优先考虑中小企业。</w:t>
      </w:r>
    </w:p>
    <w:p>
      <w:pPr>
        <w:adjustRightInd w:val="0"/>
        <w:snapToGrid w:val="0"/>
        <w:spacing w:line="360" w:lineRule="auto"/>
        <w:ind w:firstLine="420" w:firstLineChars="200"/>
        <w:jc w:val="left"/>
        <w:rPr>
          <w:rFonts w:ascii="宋体" w:hAnsi="宋体"/>
          <w:szCs w:val="21"/>
        </w:rPr>
      </w:pPr>
      <w:r>
        <w:rPr>
          <w:rFonts w:hint="eastAsia" w:hAnsi="宋体" w:cs="宋体"/>
          <w:kern w:val="0"/>
        </w:rPr>
        <w:t>38.2 投标人符合本章第38.1款规定，获得相应政府采购政策优惠的，应提供相关证明材料。</w:t>
      </w:r>
    </w:p>
    <w:p>
      <w:pPr>
        <w:tabs>
          <w:tab w:val="left" w:pos="690"/>
          <w:tab w:val="left" w:pos="7560"/>
          <w:tab w:val="left" w:pos="7740"/>
          <w:tab w:val="left" w:pos="7920"/>
        </w:tabs>
        <w:adjustRightInd w:val="0"/>
        <w:snapToGrid w:val="0"/>
        <w:spacing w:beforeLines="50" w:line="360" w:lineRule="auto"/>
        <w:ind w:right="384" w:rightChars="183"/>
        <w:rPr>
          <w:rFonts w:ascii="宋体" w:hAnsi="宋体"/>
          <w:b/>
          <w:szCs w:val="21"/>
        </w:rPr>
      </w:pPr>
      <w:bookmarkStart w:id="71" w:name="_Toc22388_WPSOffice_Level3"/>
      <w:r>
        <w:rPr>
          <w:rFonts w:hint="eastAsia" w:ascii="宋体" w:hAnsi="宋体"/>
          <w:b/>
          <w:szCs w:val="21"/>
        </w:rPr>
        <w:t>39.招标代理服务费</w:t>
      </w:r>
      <w:bookmarkEnd w:id="71"/>
    </w:p>
    <w:p>
      <w:pPr>
        <w:tabs>
          <w:tab w:val="left" w:pos="420"/>
          <w:tab w:val="left" w:pos="7560"/>
          <w:tab w:val="left" w:pos="7740"/>
          <w:tab w:val="left" w:pos="7920"/>
        </w:tabs>
        <w:adjustRightInd w:val="0"/>
        <w:snapToGrid w:val="0"/>
        <w:spacing w:beforeLines="50" w:line="360" w:lineRule="auto"/>
        <w:ind w:firstLine="420" w:firstLineChars="200"/>
        <w:rPr>
          <w:rFonts w:ascii="宋体" w:hAnsi="宋体"/>
          <w:szCs w:val="21"/>
        </w:rPr>
      </w:pPr>
      <w:r>
        <w:rPr>
          <w:rFonts w:hint="eastAsia" w:ascii="宋体" w:hAnsi="宋体"/>
          <w:szCs w:val="21"/>
        </w:rPr>
        <w:t>39.1中标人应按</w:t>
      </w:r>
      <w:r>
        <w:rPr>
          <w:rFonts w:hint="eastAsia" w:ascii="宋体" w:hAnsi="宋体"/>
          <w:b/>
          <w:szCs w:val="21"/>
        </w:rPr>
        <w:t>招标文件前附表</w:t>
      </w:r>
      <w:r>
        <w:rPr>
          <w:rFonts w:hint="eastAsia" w:ascii="宋体" w:hAnsi="宋体"/>
          <w:szCs w:val="21"/>
        </w:rPr>
        <w:t>规定交纳招标代理服务费。</w:t>
      </w:r>
    </w:p>
    <w:p>
      <w:pPr>
        <w:tabs>
          <w:tab w:val="left" w:pos="420"/>
          <w:tab w:val="left" w:pos="7560"/>
          <w:tab w:val="left" w:pos="7740"/>
          <w:tab w:val="left" w:pos="7920"/>
        </w:tabs>
        <w:adjustRightInd w:val="0"/>
        <w:snapToGrid w:val="0"/>
        <w:spacing w:beforeLines="50" w:line="360" w:lineRule="auto"/>
        <w:rPr>
          <w:rFonts w:ascii="宋体" w:hAnsi="宋体"/>
          <w:b/>
          <w:szCs w:val="21"/>
        </w:rPr>
      </w:pPr>
      <w:bookmarkStart w:id="72" w:name="_Toc21800_WPSOffice_Level3"/>
      <w:r>
        <w:rPr>
          <w:rFonts w:hint="eastAsia" w:ascii="宋体" w:hAnsi="宋体"/>
          <w:b/>
          <w:szCs w:val="21"/>
        </w:rPr>
        <w:t>40. 其他规定</w:t>
      </w:r>
      <w:bookmarkEnd w:id="72"/>
    </w:p>
    <w:p>
      <w:pPr>
        <w:pStyle w:val="22"/>
        <w:adjustRightInd w:val="0"/>
        <w:snapToGrid w:val="0"/>
        <w:spacing w:beforeLines="50" w:line="360" w:lineRule="auto"/>
        <w:ind w:firstLine="420" w:firstLineChars="200"/>
        <w:jc w:val="left"/>
        <w:rPr>
          <w:rFonts w:hAnsi="宋体"/>
        </w:rPr>
      </w:pPr>
      <w:r>
        <w:rPr>
          <w:rFonts w:hint="eastAsia" w:hAnsi="宋体"/>
        </w:rPr>
        <w:t>40.1 招标文件的其他规定见</w:t>
      </w:r>
      <w:r>
        <w:rPr>
          <w:rFonts w:hint="eastAsia" w:hAnsi="宋体"/>
          <w:b/>
        </w:rPr>
        <w:t>招标文件前附表</w:t>
      </w:r>
      <w:r>
        <w:rPr>
          <w:rFonts w:hint="eastAsia" w:hAnsi="宋体"/>
        </w:rPr>
        <w:t>。</w:t>
      </w:r>
    </w:p>
    <w:p>
      <w:pPr>
        <w:pStyle w:val="22"/>
        <w:adjustRightInd w:val="0"/>
        <w:snapToGrid w:val="0"/>
        <w:spacing w:beforeLines="50" w:line="360" w:lineRule="auto"/>
        <w:jc w:val="left"/>
        <w:rPr>
          <w:rFonts w:hAnsi="宋体"/>
        </w:rPr>
      </w:pPr>
    </w:p>
    <w:p>
      <w:pPr>
        <w:pStyle w:val="22"/>
        <w:adjustRightInd w:val="0"/>
        <w:snapToGrid w:val="0"/>
        <w:spacing w:beforeLines="50" w:line="360" w:lineRule="auto"/>
        <w:jc w:val="left"/>
        <w:rPr>
          <w:rFonts w:hAnsi="宋体"/>
        </w:rPr>
      </w:pPr>
    </w:p>
    <w:p>
      <w:pPr>
        <w:pStyle w:val="22"/>
        <w:adjustRightInd w:val="0"/>
        <w:snapToGrid w:val="0"/>
        <w:spacing w:beforeLines="50" w:line="360" w:lineRule="auto"/>
        <w:jc w:val="center"/>
        <w:outlineLvl w:val="1"/>
        <w:rPr>
          <w:rFonts w:ascii="黑体" w:hAnsi="华文中宋" w:eastAsia="黑体"/>
          <w:b/>
          <w:sz w:val="32"/>
          <w:szCs w:val="32"/>
        </w:rPr>
      </w:pPr>
      <w:r>
        <w:rPr>
          <w:rFonts w:ascii="黑体" w:hAnsi="华文中宋" w:eastAsia="黑体"/>
          <w:b/>
          <w:sz w:val="32"/>
          <w:szCs w:val="32"/>
        </w:rPr>
        <w:t xml:space="preserve"> </w:t>
      </w:r>
      <w:bookmarkStart w:id="73" w:name="_Toc29369_WPSOffice_Level1"/>
      <w:bookmarkStart w:id="74" w:name="_Toc536603240"/>
      <w:r>
        <w:rPr>
          <w:rFonts w:hint="eastAsia" w:ascii="黑体" w:hAnsi="华文中宋" w:eastAsia="黑体"/>
          <w:b/>
          <w:sz w:val="32"/>
          <w:szCs w:val="32"/>
        </w:rPr>
        <w:t>第二章 评标方法及标准(综合评分法适用)</w:t>
      </w:r>
      <w:bookmarkEnd w:id="73"/>
      <w:bookmarkEnd w:id="74"/>
    </w:p>
    <w:p>
      <w:pPr>
        <w:pStyle w:val="4"/>
        <w:rPr>
          <w:rFonts w:ascii="宋体" w:hAnsi="宋体"/>
          <w:sz w:val="21"/>
          <w:szCs w:val="21"/>
        </w:rPr>
      </w:pPr>
      <w:bookmarkStart w:id="75" w:name="_Toc536603241"/>
      <w:bookmarkStart w:id="76" w:name="_Toc26987_WPSOffice_Level2"/>
      <w:r>
        <w:rPr>
          <w:rFonts w:hint="eastAsia" w:ascii="宋体" w:hAnsi="宋体"/>
          <w:sz w:val="21"/>
          <w:szCs w:val="21"/>
        </w:rPr>
        <w:t>一. 总则</w:t>
      </w:r>
      <w:bookmarkEnd w:id="75"/>
      <w:bookmarkEnd w:id="76"/>
    </w:p>
    <w:p>
      <w:pPr>
        <w:adjustRightInd w:val="0"/>
        <w:snapToGrid w:val="0"/>
        <w:spacing w:beforeLines="50" w:line="360" w:lineRule="auto"/>
        <w:rPr>
          <w:rFonts w:ascii="宋体" w:hAnsi="宋体"/>
          <w:b/>
          <w:szCs w:val="21"/>
        </w:rPr>
      </w:pPr>
      <w:bookmarkStart w:id="77" w:name="_Toc7381_WPSOffice_Level3"/>
      <w:r>
        <w:rPr>
          <w:rFonts w:hint="eastAsia" w:ascii="宋体" w:hAnsi="宋体"/>
          <w:b/>
          <w:szCs w:val="21"/>
        </w:rPr>
        <w:t>1. 评标委员会</w:t>
      </w:r>
      <w:bookmarkEnd w:id="77"/>
    </w:p>
    <w:p>
      <w:pPr>
        <w:adjustRightInd w:val="0"/>
        <w:snapToGrid w:val="0"/>
        <w:spacing w:beforeLines="50" w:line="360" w:lineRule="auto"/>
        <w:ind w:firstLine="420" w:firstLineChars="200"/>
        <w:rPr>
          <w:rFonts w:ascii="宋体" w:hAnsi="宋体"/>
          <w:szCs w:val="21"/>
        </w:rPr>
      </w:pPr>
      <w:r>
        <w:rPr>
          <w:rFonts w:hint="eastAsia" w:ascii="宋体" w:hAnsi="宋体"/>
          <w:szCs w:val="21"/>
        </w:rPr>
        <w:t>1.1.评标由依法组成的评标委员会负责。</w:t>
      </w:r>
    </w:p>
    <w:p>
      <w:pPr>
        <w:adjustRightInd w:val="0"/>
        <w:snapToGrid w:val="0"/>
        <w:spacing w:beforeLines="50" w:line="360" w:lineRule="auto"/>
        <w:rPr>
          <w:rFonts w:ascii="宋体" w:hAnsi="宋体"/>
          <w:b/>
          <w:szCs w:val="21"/>
        </w:rPr>
      </w:pPr>
      <w:bookmarkStart w:id="78" w:name="_Toc27401_WPSOffice_Level3"/>
      <w:r>
        <w:rPr>
          <w:rFonts w:hint="eastAsia" w:ascii="宋体" w:hAnsi="宋体"/>
          <w:b/>
          <w:bCs/>
          <w:szCs w:val="21"/>
        </w:rPr>
        <w:t>2.</w:t>
      </w:r>
      <w:r>
        <w:rPr>
          <w:rFonts w:hint="eastAsia" w:ascii="宋体" w:hAnsi="宋体"/>
          <w:b/>
          <w:szCs w:val="21"/>
        </w:rPr>
        <w:t>评标方法</w:t>
      </w:r>
      <w:bookmarkEnd w:id="78"/>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2.1评标方法：综合评分法，即投标文件能够最大限度的满足招标文件规定的各项综合评价标准且经评审得分最高的供应商为中标候选人的评标方法。</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bCs/>
          <w:szCs w:val="21"/>
        </w:rPr>
        <w:t>2.2本采购项目</w:t>
      </w:r>
      <w:r>
        <w:rPr>
          <w:rFonts w:hint="eastAsia" w:ascii="宋体" w:hAnsi="宋体"/>
          <w:szCs w:val="21"/>
        </w:rPr>
        <w:t>的评标因素和标准见</w:t>
      </w:r>
      <w:r>
        <w:rPr>
          <w:rFonts w:hint="eastAsia" w:ascii="宋体" w:hAnsi="宋体"/>
          <w:b/>
          <w:szCs w:val="21"/>
        </w:rPr>
        <w:t>招标文件前附表，</w:t>
      </w:r>
      <w:r>
        <w:rPr>
          <w:rFonts w:hint="eastAsia" w:ascii="宋体" w:hAnsi="宋体"/>
          <w:szCs w:val="21"/>
        </w:rPr>
        <w:t>不得对投标文件优于招标文件要求的评标因素给予加分。</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评标因素：价格、技术、财务状况、信誉、业绩、服务、对招标文件的响应程度，以及相应的比重或者权值等，但不包括第一章“投标须知”第3.1</w:t>
      </w:r>
      <w:r>
        <w:rPr>
          <w:rFonts w:hint="eastAsia" w:ascii="宋体" w:hAnsi="宋体" w:cs="宋体"/>
          <w:kern w:val="0"/>
          <w:szCs w:val="21"/>
          <w:lang w:val="zh-CN"/>
        </w:rPr>
        <w:t>款</w:t>
      </w:r>
      <w:r>
        <w:rPr>
          <w:rFonts w:hint="eastAsia" w:ascii="宋体" w:hAnsi="宋体"/>
          <w:szCs w:val="21"/>
        </w:rPr>
        <w:t>规定的投标人资格条件。</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bCs/>
          <w:szCs w:val="21"/>
        </w:rPr>
        <w:t>2.3</w:t>
      </w:r>
      <w:r>
        <w:rPr>
          <w:rFonts w:hint="eastAsia" w:ascii="宋体" w:hAnsi="宋体"/>
          <w:szCs w:val="21"/>
        </w:rPr>
        <w:t>权值的取值范围见下表，本采购项目的权值见</w:t>
      </w:r>
      <w:r>
        <w:rPr>
          <w:rFonts w:hint="eastAsia" w:ascii="宋体" w:hAnsi="宋体"/>
          <w:b/>
          <w:szCs w:val="21"/>
        </w:rPr>
        <w:t>招标文件前附表。</w:t>
      </w:r>
    </w:p>
    <w:tbl>
      <w:tblPr>
        <w:tblStyle w:val="40"/>
        <w:tblW w:w="88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7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序号</w:t>
            </w:r>
          </w:p>
        </w:tc>
        <w:tc>
          <w:tcPr>
            <w:tcW w:w="468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项     目</w:t>
            </w:r>
          </w:p>
        </w:tc>
        <w:tc>
          <w:tcPr>
            <w:tcW w:w="34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权值的取值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09" w:hRule="atLeast"/>
        </w:trPr>
        <w:tc>
          <w:tcPr>
            <w:tcW w:w="7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1</w:t>
            </w:r>
          </w:p>
        </w:tc>
        <w:tc>
          <w:tcPr>
            <w:tcW w:w="468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价格</w:t>
            </w:r>
          </w:p>
        </w:tc>
        <w:tc>
          <w:tcPr>
            <w:tcW w:w="3420" w:type="dxa"/>
            <w:vMerge w:val="restart"/>
            <w:vAlign w:val="center"/>
          </w:tcPr>
          <w:p>
            <w:pPr>
              <w:tabs>
                <w:tab w:val="left" w:pos="719"/>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详见评分标准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7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2</w:t>
            </w:r>
          </w:p>
        </w:tc>
        <w:tc>
          <w:tcPr>
            <w:tcW w:w="468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技术</w:t>
            </w:r>
          </w:p>
        </w:tc>
        <w:tc>
          <w:tcPr>
            <w:tcW w:w="3420" w:type="dxa"/>
            <w:vMerge w:val="continue"/>
            <w:vAlign w:val="center"/>
          </w:tcPr>
          <w:p>
            <w:pPr>
              <w:tabs>
                <w:tab w:val="center" w:pos="4153"/>
                <w:tab w:val="right" w:pos="8306"/>
              </w:tabs>
              <w:adjustRightInd w:val="0"/>
              <w:snapToGrid w:val="0"/>
              <w:spacing w:line="360" w:lineRule="auto"/>
              <w:jc w:val="center"/>
              <w:rPr>
                <w:rFonts w:ascii="宋体" w:hAns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7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3</w:t>
            </w:r>
          </w:p>
        </w:tc>
        <w:tc>
          <w:tcPr>
            <w:tcW w:w="468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商务</w:t>
            </w:r>
          </w:p>
        </w:tc>
        <w:tc>
          <w:tcPr>
            <w:tcW w:w="3420" w:type="dxa"/>
            <w:vMerge w:val="continue"/>
            <w:vAlign w:val="center"/>
          </w:tcPr>
          <w:p>
            <w:pPr>
              <w:tabs>
                <w:tab w:val="center" w:pos="4153"/>
                <w:tab w:val="right" w:pos="8306"/>
              </w:tabs>
              <w:adjustRightInd w:val="0"/>
              <w:snapToGrid w:val="0"/>
              <w:spacing w:line="360" w:lineRule="auto"/>
              <w:jc w:val="center"/>
              <w:rPr>
                <w:rFonts w:ascii="宋体" w:hAns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7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4</w:t>
            </w:r>
          </w:p>
        </w:tc>
        <w:tc>
          <w:tcPr>
            <w:tcW w:w="468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其他</w:t>
            </w:r>
          </w:p>
        </w:tc>
        <w:tc>
          <w:tcPr>
            <w:tcW w:w="3420" w:type="dxa"/>
            <w:vMerge w:val="continue"/>
            <w:vAlign w:val="center"/>
          </w:tcPr>
          <w:p>
            <w:pPr>
              <w:tabs>
                <w:tab w:val="center" w:pos="4153"/>
                <w:tab w:val="right" w:pos="8306"/>
              </w:tabs>
              <w:adjustRightInd w:val="0"/>
              <w:snapToGrid w:val="0"/>
              <w:spacing w:line="360" w:lineRule="auto"/>
              <w:jc w:val="center"/>
              <w:rPr>
                <w:rFonts w:ascii="宋体" w:hAns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5400" w:type="dxa"/>
            <w:gridSpan w:val="2"/>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∑(1+2+3+4)=1</w:t>
            </w:r>
          </w:p>
        </w:tc>
        <w:tc>
          <w:tcPr>
            <w:tcW w:w="3420" w:type="dxa"/>
            <w:vAlign w:val="center"/>
          </w:tcPr>
          <w:p>
            <w:pPr>
              <w:tabs>
                <w:tab w:val="center" w:pos="4153"/>
                <w:tab w:val="right" w:pos="8306"/>
              </w:tabs>
              <w:adjustRightInd w:val="0"/>
              <w:snapToGrid w:val="0"/>
              <w:spacing w:line="360" w:lineRule="auto"/>
              <w:jc w:val="center"/>
              <w:rPr>
                <w:rFonts w:ascii="宋体" w:hAnsi="宋体"/>
                <w:sz w:val="18"/>
                <w:szCs w:val="21"/>
              </w:rPr>
            </w:pPr>
            <w:r>
              <w:rPr>
                <w:rFonts w:hint="eastAsia" w:ascii="宋体" w:hAnsi="宋体"/>
                <w:sz w:val="18"/>
                <w:szCs w:val="21"/>
              </w:rPr>
              <w:t>1</w:t>
            </w:r>
          </w:p>
        </w:tc>
      </w:tr>
    </w:tbl>
    <w:p>
      <w:pPr>
        <w:pStyle w:val="4"/>
        <w:rPr>
          <w:rFonts w:ascii="宋体" w:hAnsi="宋体"/>
          <w:sz w:val="21"/>
          <w:szCs w:val="21"/>
        </w:rPr>
      </w:pPr>
      <w:bookmarkStart w:id="79" w:name="_Toc31301_WPSOffice_Level2"/>
      <w:bookmarkStart w:id="80" w:name="_Toc536603242"/>
      <w:r>
        <w:rPr>
          <w:rFonts w:hint="eastAsia" w:ascii="宋体" w:hAnsi="宋体"/>
          <w:sz w:val="21"/>
          <w:szCs w:val="21"/>
        </w:rPr>
        <w:t>二. 评标程序</w:t>
      </w:r>
      <w:bookmarkEnd w:id="79"/>
      <w:bookmarkEnd w:id="80"/>
    </w:p>
    <w:p>
      <w:pPr>
        <w:adjustRightInd w:val="0"/>
        <w:snapToGrid w:val="0"/>
        <w:spacing w:beforeLines="50" w:line="360" w:lineRule="auto"/>
        <w:ind w:right="-109" w:rightChars="-52"/>
        <w:rPr>
          <w:rFonts w:ascii="宋体" w:hAnsi="宋体"/>
          <w:b/>
          <w:bCs/>
          <w:szCs w:val="21"/>
        </w:rPr>
      </w:pPr>
      <w:bookmarkStart w:id="81" w:name="_Toc1403_WPSOffice_Level3"/>
      <w:r>
        <w:rPr>
          <w:rFonts w:hint="eastAsia" w:ascii="宋体" w:hAnsi="宋体"/>
          <w:b/>
          <w:bCs/>
          <w:szCs w:val="21"/>
        </w:rPr>
        <w:t>3. 投标文件的初步</w:t>
      </w:r>
      <w:r>
        <w:rPr>
          <w:rFonts w:hint="eastAsia" w:ascii="宋体" w:hAnsi="宋体"/>
          <w:b/>
          <w:szCs w:val="21"/>
        </w:rPr>
        <w:t>评审</w:t>
      </w:r>
      <w:bookmarkEnd w:id="81"/>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bCs/>
          <w:szCs w:val="21"/>
        </w:rPr>
        <w:t>3.1初步</w:t>
      </w:r>
      <w:r>
        <w:rPr>
          <w:rFonts w:hint="eastAsia" w:ascii="宋体" w:hAnsi="宋体"/>
          <w:szCs w:val="21"/>
        </w:rPr>
        <w:t>评审分为资格性检查和符合性检查。</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(1) 资格性检查。根据法律法规和招标文件的规定，对投标文件中的资格证明、投标保证金等进行审查，以确定投标人是否具备投标资格。</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(2) 符合性检查。依据招标文件的规定，从投标文件的有效性、完整性和对招标文件的响应程度进行审查，以确定是否对招标文件的实质性要求作出响应。</w:t>
      </w:r>
      <w:r>
        <w:rPr>
          <w:rFonts w:hint="eastAsia"/>
          <w:szCs w:val="21"/>
        </w:rPr>
        <w:t>评标委员会决定投标</w:t>
      </w:r>
      <w:r>
        <w:rPr>
          <w:rFonts w:hint="eastAsia" w:ascii="宋体" w:hAnsi="宋体"/>
          <w:szCs w:val="21"/>
        </w:rPr>
        <w:t>文件</w:t>
      </w:r>
      <w:r>
        <w:rPr>
          <w:rFonts w:hint="eastAsia"/>
          <w:szCs w:val="21"/>
        </w:rPr>
        <w:t>的响应性只根据投标</w:t>
      </w:r>
      <w:r>
        <w:rPr>
          <w:rFonts w:hint="eastAsia" w:ascii="宋体" w:hAnsi="宋体"/>
          <w:szCs w:val="21"/>
        </w:rPr>
        <w:t>文件</w:t>
      </w:r>
      <w:r>
        <w:rPr>
          <w:rFonts w:hint="eastAsia"/>
          <w:szCs w:val="21"/>
        </w:rPr>
        <w:t>真实无误的内容，而不依据外部的证据，但投标</w:t>
      </w:r>
      <w:r>
        <w:rPr>
          <w:rFonts w:hint="eastAsia" w:ascii="宋体" w:hAnsi="宋体"/>
          <w:szCs w:val="21"/>
        </w:rPr>
        <w:t>文件</w:t>
      </w:r>
      <w:r>
        <w:rPr>
          <w:rFonts w:hint="eastAsia"/>
          <w:szCs w:val="21"/>
        </w:rPr>
        <w:t>有不真实、不正确的内容时除外。</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w:t>
      </w:r>
      <w:r>
        <w:rPr>
          <w:rFonts w:hint="eastAsia"/>
          <w:szCs w:val="21"/>
        </w:rPr>
        <w:t>投标人不得通过修正或撤销不合要求的偏离从而使其投标成为实质上响应的投标。</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3.2 投标文件属下列情况之一的，应当在资格性、符合性检查时按照无效投标处理，无效投标的情况同时在</w:t>
      </w:r>
      <w:r>
        <w:rPr>
          <w:rFonts w:hint="eastAsia" w:ascii="宋体" w:hAnsi="宋体"/>
          <w:b/>
          <w:szCs w:val="21"/>
        </w:rPr>
        <w:t>招标文件前附表</w:t>
      </w:r>
      <w:r>
        <w:rPr>
          <w:rFonts w:hint="eastAsia" w:ascii="宋体" w:hAnsi="宋体"/>
          <w:szCs w:val="21"/>
        </w:rPr>
        <w:t>集中列示：</w:t>
      </w:r>
    </w:p>
    <w:p>
      <w:pPr>
        <w:tabs>
          <w:tab w:val="left" w:pos="735"/>
          <w:tab w:val="left" w:pos="7560"/>
          <w:tab w:val="left" w:pos="7740"/>
          <w:tab w:val="left" w:pos="7920"/>
        </w:tabs>
        <w:adjustRightInd w:val="0"/>
        <w:snapToGrid w:val="0"/>
        <w:spacing w:beforeLines="50" w:line="360" w:lineRule="auto"/>
        <w:ind w:right="23" w:rightChars="11" w:firstLine="420" w:firstLineChars="200"/>
        <w:rPr>
          <w:rFonts w:ascii="宋体" w:hAnsi="宋体"/>
          <w:szCs w:val="21"/>
        </w:rPr>
      </w:pPr>
      <w:r>
        <w:rPr>
          <w:rFonts w:hint="eastAsia" w:ascii="宋体" w:hAnsi="宋体"/>
          <w:szCs w:val="21"/>
        </w:rPr>
        <w:t>（1）应交未交投标保证金或</w:t>
      </w:r>
      <w:r>
        <w:rPr>
          <w:rFonts w:hint="eastAsia"/>
          <w:szCs w:val="21"/>
        </w:rPr>
        <w:t>金额不足、保函有效期不足、投标保证金形式或投标保函出证机构不符合招标文件要求的</w:t>
      </w:r>
      <w:r>
        <w:rPr>
          <w:rFonts w:hint="eastAsia" w:ascii="宋体" w:hAnsi="宋体"/>
          <w:szCs w:val="21"/>
        </w:rPr>
        <w:t>；</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（2）未按照招标文件规定要求密封、签署、盖章的；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w:t>
      </w:r>
      <w:r>
        <w:rPr>
          <w:rFonts w:hint="eastAsia" w:ascii="宋体" w:hAnsi="宋体" w:cs="Arial"/>
          <w:szCs w:val="21"/>
        </w:rPr>
        <w:t>联合体没有提交</w:t>
      </w:r>
      <w:r>
        <w:rPr>
          <w:rFonts w:hint="eastAsia" w:ascii="宋体" w:hAnsi="宋体"/>
          <w:szCs w:val="21"/>
        </w:rPr>
        <w:t>联合体协议书</w:t>
      </w:r>
      <w:r>
        <w:rPr>
          <w:rFonts w:hint="eastAsia" w:ascii="宋体" w:hAnsi="宋体"/>
          <w:bCs/>
          <w:szCs w:val="21"/>
        </w:rPr>
        <w:t>，</w:t>
      </w:r>
      <w:r>
        <w:rPr>
          <w:rFonts w:hint="eastAsia"/>
          <w:szCs w:val="21"/>
        </w:rPr>
        <w:t>或</w:t>
      </w:r>
      <w:r>
        <w:rPr>
          <w:rFonts w:hint="eastAsia" w:ascii="宋体" w:hAnsi="宋体"/>
          <w:szCs w:val="21"/>
        </w:rPr>
        <w:t>未提交联合体各方资格证明文件</w:t>
      </w:r>
      <w:r>
        <w:rPr>
          <w:rFonts w:hint="eastAsia" w:ascii="宋体" w:hAnsi="宋体"/>
          <w:bCs/>
          <w:szCs w:val="21"/>
        </w:rPr>
        <w:t>，</w:t>
      </w:r>
      <w:r>
        <w:rPr>
          <w:rFonts w:hint="eastAsia"/>
          <w:szCs w:val="21"/>
        </w:rPr>
        <w:t>或</w:t>
      </w:r>
      <w:r>
        <w:rPr>
          <w:rFonts w:hint="eastAsia" w:ascii="宋体" w:hAnsi="宋体"/>
          <w:szCs w:val="21"/>
        </w:rPr>
        <w:t>联合体</w:t>
      </w:r>
      <w:r>
        <w:rPr>
          <w:rFonts w:hint="eastAsia" w:ascii="宋体" w:hAnsi="宋体" w:cs="Arial"/>
          <w:kern w:val="0"/>
          <w:szCs w:val="21"/>
        </w:rPr>
        <w:t>牵头方</w:t>
      </w:r>
      <w:r>
        <w:rPr>
          <w:rFonts w:hint="eastAsia"/>
          <w:szCs w:val="21"/>
        </w:rPr>
        <w:t>不</w:t>
      </w:r>
      <w:r>
        <w:rPr>
          <w:rFonts w:hint="eastAsia" w:ascii="宋体" w:hAnsi="宋体"/>
          <w:szCs w:val="21"/>
        </w:rPr>
        <w:t>符合第一章“投标须知”第3.1</w:t>
      </w:r>
      <w:r>
        <w:rPr>
          <w:rFonts w:hint="eastAsia" w:ascii="宋体" w:hAnsi="宋体" w:cs="宋体"/>
          <w:kern w:val="0"/>
          <w:szCs w:val="21"/>
          <w:lang w:val="zh-CN"/>
        </w:rPr>
        <w:t>款</w:t>
      </w:r>
      <w:r>
        <w:rPr>
          <w:rFonts w:hint="eastAsia" w:ascii="宋体" w:hAnsi="宋体"/>
          <w:szCs w:val="21"/>
        </w:rPr>
        <w:t>规定的供应商资格条件</w:t>
      </w:r>
      <w:r>
        <w:rPr>
          <w:rFonts w:hint="eastAsia" w:ascii="宋体" w:hAnsi="宋体"/>
          <w:bCs/>
          <w:szCs w:val="21"/>
        </w:rPr>
        <w:t>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 xml:space="preserve">（4）参加政府采购活动前三年内，在经营活动中有重大违法记录的； </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（5）不具备第一章“投标须知”第3.1</w:t>
      </w:r>
      <w:r>
        <w:rPr>
          <w:rFonts w:hint="eastAsia" w:ascii="宋体" w:hAnsi="宋体" w:cs="宋体"/>
          <w:kern w:val="0"/>
          <w:szCs w:val="21"/>
          <w:lang w:val="zh-CN"/>
        </w:rPr>
        <w:t>款</w:t>
      </w:r>
      <w:r>
        <w:rPr>
          <w:rFonts w:hint="eastAsia" w:ascii="宋体" w:hAnsi="宋体"/>
          <w:szCs w:val="21"/>
        </w:rPr>
        <w:t>规定的投标人资格要求的；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（6）不满足第一章“投标须知”第10.1</w:t>
      </w:r>
      <w:r>
        <w:rPr>
          <w:rFonts w:hint="eastAsia" w:ascii="宋体" w:hAnsi="宋体" w:cs="宋体"/>
          <w:kern w:val="0"/>
          <w:szCs w:val="21"/>
          <w:lang w:val="zh-CN"/>
        </w:rPr>
        <w:t>款</w:t>
      </w:r>
      <w:r>
        <w:rPr>
          <w:rFonts w:hint="eastAsia" w:ascii="宋体" w:hAnsi="宋体"/>
          <w:szCs w:val="21"/>
        </w:rPr>
        <w:t>、第10.2</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szCs w:val="21"/>
        </w:rPr>
        <w:t>实质性要求的；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（7）投标报价超过采购项目预算的；</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（8）同一投标人提交两个以上不同的投标文件或者投标报价的，但第一章“投标须知”第16.3</w:t>
      </w:r>
      <w:r>
        <w:rPr>
          <w:rFonts w:hint="eastAsia" w:ascii="宋体" w:hAnsi="宋体" w:cs="宋体"/>
          <w:kern w:val="0"/>
          <w:szCs w:val="21"/>
          <w:lang w:val="zh-CN"/>
        </w:rPr>
        <w:t>款</w:t>
      </w:r>
      <w:r>
        <w:rPr>
          <w:rFonts w:hint="eastAsia" w:ascii="宋体" w:hAnsi="宋体"/>
          <w:szCs w:val="21"/>
        </w:rPr>
        <w:t>允许提交备选方案的除外；</w:t>
      </w:r>
    </w:p>
    <w:p>
      <w:pPr>
        <w:tabs>
          <w:tab w:val="left" w:pos="3105"/>
        </w:tabs>
        <w:adjustRightInd w:val="0"/>
        <w:snapToGrid w:val="0"/>
        <w:spacing w:beforeLines="50" w:line="360" w:lineRule="auto"/>
        <w:ind w:firstLine="420" w:firstLineChars="200"/>
        <w:rPr>
          <w:rFonts w:ascii="宋体" w:hAnsi="宋体"/>
          <w:kern w:val="0"/>
        </w:rPr>
      </w:pPr>
      <w:r>
        <w:rPr>
          <w:rFonts w:hint="eastAsia" w:ascii="宋体" w:hAnsi="宋体"/>
          <w:szCs w:val="21"/>
        </w:rPr>
        <w:t>（9）</w:t>
      </w:r>
      <w:r>
        <w:rPr>
          <w:rFonts w:ascii="宋体" w:hAnsi="宋体"/>
          <w:kern w:val="0"/>
        </w:rPr>
        <w:t>投标文件载明的投标范围小于招标文件规定的招标范围的</w:t>
      </w:r>
      <w:r>
        <w:rPr>
          <w:rFonts w:hint="eastAsia" w:ascii="宋体" w:hAnsi="宋体"/>
          <w:kern w:val="0"/>
        </w:rPr>
        <w:t>(</w:t>
      </w:r>
      <w:r>
        <w:rPr>
          <w:rFonts w:hint="eastAsia" w:ascii="宋体" w:hAnsi="宋体"/>
          <w:szCs w:val="21"/>
        </w:rPr>
        <w:t>缺漏招标文件所要求的内容)</w:t>
      </w:r>
      <w:r>
        <w:rPr>
          <w:rFonts w:ascii="宋体" w:hAnsi="宋体"/>
          <w:kern w:val="0"/>
        </w:rPr>
        <w:t>；</w:t>
      </w:r>
    </w:p>
    <w:p>
      <w:pPr>
        <w:tabs>
          <w:tab w:val="left" w:pos="3105"/>
        </w:tabs>
        <w:adjustRightInd w:val="0"/>
        <w:snapToGrid w:val="0"/>
        <w:spacing w:beforeLines="50" w:line="360" w:lineRule="auto"/>
        <w:ind w:firstLine="420" w:firstLineChars="200"/>
        <w:rPr>
          <w:rFonts w:ascii="宋体" w:hAnsi="宋体"/>
          <w:szCs w:val="21"/>
        </w:rPr>
      </w:pPr>
      <w:r>
        <w:rPr>
          <w:rFonts w:hint="eastAsia" w:ascii="宋体" w:hAnsi="宋体"/>
          <w:szCs w:val="21"/>
        </w:rPr>
        <w:t>（10）投标有效期不足的；</w:t>
      </w:r>
    </w:p>
    <w:p>
      <w:pPr>
        <w:tabs>
          <w:tab w:val="left" w:pos="3105"/>
        </w:tabs>
        <w:adjustRightInd w:val="0"/>
        <w:snapToGrid w:val="0"/>
        <w:spacing w:beforeLines="50" w:line="360" w:lineRule="auto"/>
        <w:ind w:firstLine="420" w:firstLineChars="200"/>
        <w:rPr>
          <w:rFonts w:ascii="宋体" w:hAnsi="宋体"/>
          <w:bCs/>
          <w:szCs w:val="21"/>
        </w:rPr>
      </w:pPr>
      <w:r>
        <w:rPr>
          <w:rFonts w:hint="eastAsia" w:ascii="宋体" w:hAnsi="宋体"/>
          <w:szCs w:val="21"/>
        </w:rPr>
        <w:t>（11）不符合法律、法规和招标文件规定的。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3.3 有下列情形之一时，评标委员会应予废标，并将理由通知所有投标人。废标的情形同时在</w:t>
      </w:r>
      <w:r>
        <w:rPr>
          <w:rFonts w:hint="eastAsia" w:ascii="宋体" w:hAnsi="宋体"/>
          <w:b/>
          <w:szCs w:val="21"/>
        </w:rPr>
        <w:t>招标文件前附表</w:t>
      </w:r>
      <w:r>
        <w:rPr>
          <w:rFonts w:hint="eastAsia" w:ascii="宋体" w:hAnsi="宋体"/>
          <w:szCs w:val="21"/>
        </w:rPr>
        <w:t>集中列示：</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（1）符合专业条件的投标人或者对招标文件作实质性响应的投标人不足三家的；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（2）出现影响采购公正的违法、违规行为的；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（3）投标人的报价均超过了采购预算；</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（4）因重大变故，采购任务取消的。</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3.4采用邀请招标方式的，</w:t>
      </w:r>
      <w:r>
        <w:rPr>
          <w:rFonts w:hint="eastAsia"/>
        </w:rPr>
        <w:t>投标人应按新情况更新或补充其在申请资格预审时提供的证明资料，以证实其各项资格条件仍能继续满足资格预审公告的要求。否则，</w:t>
      </w:r>
      <w:r>
        <w:rPr>
          <w:rFonts w:hint="eastAsia" w:ascii="宋体" w:hAnsi="宋体"/>
          <w:szCs w:val="21"/>
        </w:rPr>
        <w:t>在评标时将其视为无效投标。</w:t>
      </w:r>
    </w:p>
    <w:p>
      <w:pPr>
        <w:adjustRightInd w:val="0"/>
        <w:snapToGrid w:val="0"/>
        <w:spacing w:beforeLines="50" w:line="360" w:lineRule="auto"/>
        <w:ind w:right="-109" w:rightChars="-52" w:firstLine="420" w:firstLineChars="200"/>
        <w:rPr>
          <w:rFonts w:ascii="宋体" w:hAnsi="宋体"/>
          <w:szCs w:val="21"/>
        </w:rPr>
      </w:pPr>
      <w:r>
        <w:rPr>
          <w:rFonts w:hint="eastAsia" w:ascii="宋体" w:hAnsi="宋体"/>
          <w:szCs w:val="21"/>
        </w:rPr>
        <w:t>3.5除</w:t>
      </w:r>
      <w:r>
        <w:rPr>
          <w:rFonts w:hint="eastAsia" w:ascii="宋体" w:hAnsi="宋体"/>
          <w:b/>
          <w:bCs/>
          <w:szCs w:val="21"/>
        </w:rPr>
        <w:t>招标文件前附表</w:t>
      </w:r>
      <w:r>
        <w:rPr>
          <w:rFonts w:hint="eastAsia" w:ascii="宋体" w:hAnsi="宋体"/>
          <w:szCs w:val="21"/>
        </w:rPr>
        <w:t>另有规定外，多家代理商参加同一主要产品品牌同一型号产品投标的，在统计投标人数量时，按不同投标人分别计算。</w:t>
      </w:r>
    </w:p>
    <w:p>
      <w:pPr>
        <w:adjustRightInd w:val="0"/>
        <w:snapToGrid w:val="0"/>
        <w:spacing w:beforeLines="50" w:line="360" w:lineRule="auto"/>
        <w:ind w:right="-109" w:rightChars="-52" w:firstLine="422" w:firstLineChars="200"/>
        <w:rPr>
          <w:rFonts w:ascii="宋体" w:hAnsi="宋体"/>
          <w:bCs/>
          <w:szCs w:val="21"/>
        </w:rPr>
      </w:pPr>
      <w:bookmarkStart w:id="82" w:name="_Toc1479_WPSOffice_Level3"/>
      <w:r>
        <w:rPr>
          <w:rFonts w:hint="eastAsia" w:ascii="宋体" w:hAnsi="宋体"/>
          <w:b/>
          <w:bCs/>
          <w:szCs w:val="21"/>
        </w:rPr>
        <w:t>4.澄清有关问题</w:t>
      </w:r>
      <w:bookmarkEnd w:id="82"/>
    </w:p>
    <w:p>
      <w:pPr>
        <w:adjustRightInd w:val="0"/>
        <w:snapToGrid w:val="0"/>
        <w:spacing w:beforeLines="50" w:line="360" w:lineRule="auto"/>
        <w:ind w:firstLine="420" w:firstLineChars="200"/>
        <w:rPr>
          <w:rFonts w:ascii="宋体" w:hAnsi="宋体"/>
          <w:szCs w:val="21"/>
        </w:rPr>
      </w:pPr>
      <w:r>
        <w:rPr>
          <w:rFonts w:hint="eastAsia" w:ascii="宋体" w:hAnsi="宋体"/>
          <w:szCs w:val="21"/>
        </w:rPr>
        <w:t>4.1 对投标文件中含义不明确、同类问题表述不一致或者有明显文字和计算错误的内容，评标委员会将以书面形式通知投标人作出必要的澄清、说明，但不得超出投标文件的范围或对投标文件做实质性的修改（计算错误修正除外）。评标委员会不接受投标人主动提出的澄清、说明。</w:t>
      </w:r>
    </w:p>
    <w:p>
      <w:pPr>
        <w:tabs>
          <w:tab w:val="left" w:pos="0"/>
        </w:tabs>
        <w:adjustRightInd w:val="0"/>
        <w:snapToGrid w:val="0"/>
        <w:spacing w:beforeLines="50" w:line="360" w:lineRule="auto"/>
        <w:ind w:firstLine="420" w:firstLineChars="200"/>
        <w:rPr>
          <w:rFonts w:ascii="宋体" w:hAnsi="宋体"/>
          <w:bCs/>
          <w:szCs w:val="21"/>
        </w:rPr>
      </w:pPr>
      <w:r>
        <w:rPr>
          <w:rFonts w:hint="eastAsia" w:ascii="宋体" w:hAnsi="宋体"/>
          <w:szCs w:val="21"/>
        </w:rPr>
        <w:t>4.2投标人不得对下列内容</w:t>
      </w:r>
      <w:r>
        <w:rPr>
          <w:rFonts w:hint="eastAsia" w:ascii="宋体" w:hAnsi="宋体"/>
          <w:bCs/>
          <w:szCs w:val="21"/>
        </w:rPr>
        <w:t>其进行澄清或补充：</w:t>
      </w:r>
    </w:p>
    <w:p>
      <w:pPr>
        <w:tabs>
          <w:tab w:val="left" w:pos="0"/>
        </w:tabs>
        <w:adjustRightInd w:val="0"/>
        <w:snapToGrid w:val="0"/>
        <w:spacing w:beforeLines="50" w:line="360" w:lineRule="auto"/>
        <w:ind w:firstLine="420" w:firstLineChars="200"/>
        <w:rPr>
          <w:rFonts w:ascii="宋体" w:hAnsi="宋体"/>
          <w:bCs/>
          <w:szCs w:val="21"/>
        </w:rPr>
      </w:pPr>
      <w:r>
        <w:rPr>
          <w:rFonts w:hint="eastAsia" w:ascii="宋体" w:hAnsi="宋体"/>
          <w:szCs w:val="21"/>
        </w:rPr>
        <w:t>（1）开标时，</w:t>
      </w:r>
      <w:r>
        <w:rPr>
          <w:rFonts w:hint="eastAsia" w:ascii="宋体" w:hAnsi="宋体"/>
          <w:bCs/>
          <w:szCs w:val="21"/>
        </w:rPr>
        <w:t>未宣读的投标价格、价格折扣和</w:t>
      </w:r>
      <w:r>
        <w:rPr>
          <w:rFonts w:hint="eastAsia" w:ascii="宋体" w:hAnsi="宋体"/>
          <w:szCs w:val="21"/>
        </w:rPr>
        <w:t>第一章“投标须知”第16.3</w:t>
      </w:r>
      <w:r>
        <w:rPr>
          <w:rFonts w:hint="eastAsia" w:ascii="宋体" w:hAnsi="宋体" w:cs="宋体"/>
          <w:kern w:val="0"/>
          <w:szCs w:val="21"/>
          <w:lang w:val="zh-CN"/>
        </w:rPr>
        <w:t>款</w:t>
      </w:r>
      <w:r>
        <w:rPr>
          <w:rFonts w:hint="eastAsia" w:ascii="宋体" w:hAnsi="宋体"/>
          <w:bCs/>
          <w:szCs w:val="21"/>
        </w:rPr>
        <w:t>允许提</w:t>
      </w:r>
      <w:r>
        <w:rPr>
          <w:rFonts w:hint="eastAsia" w:ascii="宋体" w:hAnsi="宋体"/>
          <w:szCs w:val="21"/>
        </w:rPr>
        <w:t>交</w:t>
      </w:r>
      <w:r>
        <w:rPr>
          <w:rFonts w:hint="eastAsia" w:ascii="宋体" w:hAnsi="宋体"/>
          <w:bCs/>
          <w:szCs w:val="21"/>
        </w:rPr>
        <w:t>的备选方案等实质性内容。</w:t>
      </w:r>
    </w:p>
    <w:p>
      <w:pPr>
        <w:tabs>
          <w:tab w:val="left" w:pos="0"/>
        </w:tabs>
        <w:adjustRightInd w:val="0"/>
        <w:snapToGrid w:val="0"/>
        <w:spacing w:beforeLines="50" w:line="360" w:lineRule="auto"/>
        <w:ind w:firstLine="420" w:firstLineChars="200"/>
        <w:rPr>
          <w:rFonts w:ascii="宋体" w:hAnsi="宋体"/>
          <w:bCs/>
          <w:szCs w:val="21"/>
        </w:rPr>
      </w:pPr>
      <w:r>
        <w:rPr>
          <w:rFonts w:hint="eastAsia" w:ascii="宋体" w:hAnsi="宋体"/>
          <w:szCs w:val="21"/>
        </w:rPr>
        <w:t>（2）不满足第一章投标须知第10.1</w:t>
      </w:r>
      <w:r>
        <w:rPr>
          <w:rFonts w:hint="eastAsia" w:ascii="宋体" w:hAnsi="宋体" w:cs="宋体"/>
          <w:kern w:val="0"/>
          <w:szCs w:val="21"/>
          <w:lang w:val="zh-CN"/>
        </w:rPr>
        <w:t>款</w:t>
      </w:r>
      <w:r>
        <w:rPr>
          <w:rFonts w:hint="eastAsia" w:ascii="宋体" w:hAnsi="宋体"/>
          <w:szCs w:val="21"/>
        </w:rPr>
        <w:t>、第10.2</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szCs w:val="21"/>
        </w:rPr>
        <w:t>实质性要求的</w:t>
      </w:r>
      <w:r>
        <w:rPr>
          <w:rFonts w:hint="eastAsia" w:ascii="宋体" w:hAnsi="宋体"/>
          <w:bCs/>
          <w:szCs w:val="21"/>
        </w:rPr>
        <w:t>投标文件内容</w:t>
      </w:r>
      <w:r>
        <w:rPr>
          <w:rFonts w:hint="eastAsia" w:ascii="宋体" w:hAnsi="宋体"/>
          <w:szCs w:val="21"/>
        </w:rPr>
        <w:t>。</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4.3 计算错误将按以下方法修正：如果投标文件的大写金额和小写金额不一致的，以大写金额为准；总价金额与按单价汇总金额不一致的，以单价金额计算结果为准；单价金额小数点有明显错位的，应以总价为准，并修改单价；若文字大写表示的数据与数字表示的有差别，则以文字大写表示的数据为准。若投标人拒绝接受上述修正，在评标时将其视为无效投标。</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4.4 投标人的澄清、说明或者补正应该采用书面形式，由法定代表人或其授权的代理人签字，并按评标委员会的通知要求递交。</w:t>
      </w:r>
    </w:p>
    <w:p>
      <w:pPr>
        <w:tabs>
          <w:tab w:val="left" w:pos="0"/>
        </w:tabs>
        <w:adjustRightInd w:val="0"/>
        <w:snapToGrid w:val="0"/>
        <w:spacing w:beforeLines="50" w:line="360" w:lineRule="auto"/>
        <w:ind w:firstLine="420" w:firstLineChars="200"/>
        <w:rPr>
          <w:rFonts w:ascii="宋体" w:hAnsi="宋体"/>
          <w:szCs w:val="21"/>
        </w:rPr>
      </w:pPr>
      <w:r>
        <w:rPr>
          <w:rFonts w:hint="eastAsia" w:ascii="宋体" w:hAnsi="宋体"/>
          <w:szCs w:val="21"/>
        </w:rPr>
        <w:t>4.5 有效的书面澄清材料，是投标文件的补充材料，成为投标文件的组成部分。</w:t>
      </w:r>
    </w:p>
    <w:p>
      <w:pPr>
        <w:tabs>
          <w:tab w:val="left" w:pos="0"/>
        </w:tabs>
        <w:adjustRightInd w:val="0"/>
        <w:snapToGrid w:val="0"/>
        <w:spacing w:beforeLines="50" w:line="360" w:lineRule="auto"/>
        <w:ind w:firstLine="413" w:firstLineChars="196"/>
        <w:rPr>
          <w:rFonts w:ascii="宋体" w:hAnsi="宋体"/>
          <w:b/>
          <w:bCs/>
          <w:szCs w:val="21"/>
        </w:rPr>
      </w:pPr>
      <w:bookmarkStart w:id="83" w:name="_Toc30985_WPSOffice_Level3"/>
      <w:r>
        <w:rPr>
          <w:rFonts w:hint="eastAsia" w:ascii="宋体" w:hAnsi="宋体"/>
          <w:b/>
          <w:bCs/>
          <w:szCs w:val="21"/>
        </w:rPr>
        <w:t>5. 比较与评价</w:t>
      </w:r>
      <w:bookmarkEnd w:id="83"/>
    </w:p>
    <w:p>
      <w:pPr>
        <w:tabs>
          <w:tab w:val="left" w:pos="0"/>
        </w:tabs>
        <w:adjustRightInd w:val="0"/>
        <w:snapToGrid w:val="0"/>
        <w:spacing w:beforeLines="50" w:line="360" w:lineRule="auto"/>
        <w:ind w:firstLine="420" w:firstLineChars="200"/>
        <w:rPr>
          <w:rFonts w:ascii="宋体" w:hAnsi="宋体"/>
          <w:bCs/>
          <w:szCs w:val="21"/>
        </w:rPr>
      </w:pPr>
      <w:r>
        <w:rPr>
          <w:rFonts w:hint="eastAsia" w:ascii="宋体" w:hAnsi="宋体"/>
          <w:bCs/>
          <w:szCs w:val="21"/>
        </w:rPr>
        <w:t>5.1评标委员会应按照招标文件中规定的评标方法、</w:t>
      </w:r>
      <w:r>
        <w:rPr>
          <w:rFonts w:hint="eastAsia" w:ascii="宋体" w:hAnsi="宋体"/>
          <w:szCs w:val="21"/>
        </w:rPr>
        <w:t>标准和评标因素，</w:t>
      </w:r>
      <w:r>
        <w:rPr>
          <w:rFonts w:hint="eastAsia" w:ascii="宋体" w:hAnsi="宋体"/>
          <w:bCs/>
          <w:szCs w:val="21"/>
        </w:rPr>
        <w:t>对</w:t>
      </w:r>
      <w:r>
        <w:rPr>
          <w:rFonts w:hint="eastAsia" w:ascii="宋体" w:hAnsi="宋体"/>
          <w:szCs w:val="21"/>
        </w:rPr>
        <w:t>资格性检查和符合性检查</w:t>
      </w:r>
      <w:r>
        <w:rPr>
          <w:rFonts w:hint="eastAsia" w:ascii="宋体" w:hAnsi="宋体"/>
          <w:bCs/>
          <w:szCs w:val="21"/>
        </w:rPr>
        <w:t>合格的投标文件进行评估，综合比较与评价。</w:t>
      </w:r>
    </w:p>
    <w:p>
      <w:pPr>
        <w:widowControl/>
        <w:adjustRightInd w:val="0"/>
        <w:snapToGrid w:val="0"/>
        <w:spacing w:beforeLines="50" w:line="360" w:lineRule="auto"/>
        <w:ind w:firstLine="420" w:firstLineChars="200"/>
        <w:jc w:val="left"/>
        <w:rPr>
          <w:rFonts w:ascii="宋体" w:hAnsi="宋体"/>
          <w:bCs/>
          <w:szCs w:val="21"/>
        </w:rPr>
      </w:pPr>
      <w:r>
        <w:rPr>
          <w:rFonts w:hint="eastAsia" w:ascii="宋体" w:hAnsi="宋体"/>
          <w:bCs/>
          <w:szCs w:val="21"/>
        </w:rPr>
        <w:t>5.2</w:t>
      </w:r>
      <w:r>
        <w:rPr>
          <w:rFonts w:hint="eastAsia" w:ascii="宋体" w:hAnsi="宋体"/>
          <w:szCs w:val="21"/>
        </w:rPr>
        <w:t>投标报价评价。评标委员会以开标时承认的投标报价为基础，依次对投标报价进行算术修正和政府采购政策优惠价格扣除计算。</w:t>
      </w:r>
    </w:p>
    <w:p>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bCs/>
          <w:szCs w:val="21"/>
        </w:rPr>
        <w:t>5.3</w:t>
      </w:r>
      <w:r>
        <w:rPr>
          <w:rFonts w:hint="eastAsia" w:ascii="宋体" w:hAnsi="宋体" w:cs="宋体"/>
          <w:kern w:val="0"/>
          <w:szCs w:val="21"/>
        </w:rPr>
        <w:t>价格分采用低价优先法计算，即满足招标文件要求且投标价格最低的投标报价为评标基准价，其价格分为满分，其他</w:t>
      </w:r>
      <w:r>
        <w:rPr>
          <w:rFonts w:hint="eastAsia" w:ascii="宋体" w:hAnsi="宋体"/>
          <w:szCs w:val="21"/>
        </w:rPr>
        <w:t>有效</w:t>
      </w:r>
      <w:r>
        <w:rPr>
          <w:rFonts w:hint="eastAsia" w:ascii="宋体" w:hAnsi="宋体" w:cs="宋体"/>
          <w:kern w:val="0"/>
          <w:szCs w:val="21"/>
        </w:rPr>
        <w:t>投标人的价格分按照下列公式计算：</w:t>
      </w:r>
    </w:p>
    <w:p>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投标报价得分=(评标基准价／投标报价)×价格权值×100</w:t>
      </w:r>
    </w:p>
    <w:p>
      <w:pPr>
        <w:widowControl/>
        <w:adjustRightInd w:val="0"/>
        <w:snapToGrid w:val="0"/>
        <w:spacing w:beforeLines="50" w:line="360" w:lineRule="auto"/>
        <w:ind w:firstLine="420" w:firstLineChars="200"/>
        <w:jc w:val="left"/>
        <w:rPr>
          <w:rFonts w:ascii="宋体" w:hAnsi="宋体"/>
          <w:szCs w:val="21"/>
        </w:rPr>
      </w:pPr>
      <w:r>
        <w:rPr>
          <w:rFonts w:hint="eastAsia" w:ascii="宋体" w:hAnsi="宋体" w:cs="宋体"/>
          <w:kern w:val="0"/>
          <w:szCs w:val="21"/>
        </w:rPr>
        <w:t>本项所称投标报价为按</w:t>
      </w:r>
      <w:r>
        <w:rPr>
          <w:rFonts w:hint="eastAsia" w:ascii="宋体" w:hAnsi="宋体"/>
          <w:bCs/>
          <w:szCs w:val="21"/>
        </w:rPr>
        <w:t>本章第5.2</w:t>
      </w:r>
      <w:r>
        <w:rPr>
          <w:rFonts w:hint="eastAsia" w:ascii="宋体" w:hAnsi="宋体" w:cs="宋体"/>
          <w:kern w:val="0"/>
          <w:szCs w:val="21"/>
          <w:lang w:val="zh-CN"/>
        </w:rPr>
        <w:t>款</w:t>
      </w:r>
      <w:r>
        <w:rPr>
          <w:rFonts w:hint="eastAsia" w:ascii="宋体" w:hAnsi="宋体"/>
          <w:bCs/>
          <w:szCs w:val="21"/>
        </w:rPr>
        <w:t>规定</w:t>
      </w:r>
      <w:r>
        <w:rPr>
          <w:rFonts w:hint="eastAsia" w:ascii="宋体" w:hAnsi="宋体"/>
          <w:szCs w:val="21"/>
        </w:rPr>
        <w:t>评价后的投标报价。</w:t>
      </w:r>
    </w:p>
    <w:p>
      <w:pPr>
        <w:widowControl/>
        <w:adjustRightInd w:val="0"/>
        <w:snapToGrid w:val="0"/>
        <w:spacing w:beforeLines="50" w:line="360" w:lineRule="auto"/>
        <w:ind w:firstLine="420" w:firstLineChars="200"/>
        <w:jc w:val="left"/>
        <w:rPr>
          <w:rFonts w:ascii="宋体" w:hAnsi="宋体"/>
          <w:szCs w:val="21"/>
        </w:rPr>
      </w:pPr>
      <w:r>
        <w:rPr>
          <w:rFonts w:hint="eastAsia" w:ascii="宋体" w:hAnsi="宋体"/>
          <w:bCs/>
          <w:szCs w:val="21"/>
        </w:rPr>
        <w:t>5.4</w:t>
      </w:r>
      <w:r>
        <w:rPr>
          <w:rFonts w:hint="eastAsia" w:ascii="宋体" w:hAnsi="宋体"/>
          <w:szCs w:val="21"/>
        </w:rPr>
        <w:t>涉及政府采购政策优惠的，</w:t>
      </w:r>
      <w:r>
        <w:rPr>
          <w:rFonts w:hint="eastAsia" w:ascii="宋体" w:hAnsi="宋体"/>
          <w:bCs/>
          <w:szCs w:val="21"/>
        </w:rPr>
        <w:t>按</w:t>
      </w:r>
      <w:r>
        <w:rPr>
          <w:rFonts w:hint="eastAsia" w:ascii="宋体" w:hAnsi="宋体"/>
          <w:b/>
          <w:szCs w:val="21"/>
        </w:rPr>
        <w:t>招标文件前附表</w:t>
      </w:r>
      <w:r>
        <w:rPr>
          <w:rFonts w:hint="eastAsia" w:ascii="宋体" w:hAnsi="宋体"/>
          <w:bCs/>
          <w:szCs w:val="21"/>
        </w:rPr>
        <w:t>规定</w:t>
      </w:r>
      <w:r>
        <w:rPr>
          <w:rFonts w:hint="eastAsia" w:ascii="宋体" w:hAnsi="宋体"/>
          <w:szCs w:val="21"/>
        </w:rPr>
        <w:t>调整投标人的技术、价格</w:t>
      </w:r>
      <w:r>
        <w:rPr>
          <w:rFonts w:hint="eastAsia" w:ascii="宋体" w:hAnsi="宋体" w:cs="宋体"/>
          <w:kern w:val="0"/>
          <w:szCs w:val="21"/>
        </w:rPr>
        <w:t>得分或总得分</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5.5涉及多处获得政府采购政策优惠的，涉及调整得分的，按本章第5.4款规定调整得分；涉及调整价格的，按本章第5.2款规定调整价格。综合调整见</w:t>
      </w:r>
      <w:r>
        <w:rPr>
          <w:rFonts w:hint="eastAsia" w:ascii="宋体" w:hAnsi="宋体"/>
          <w:b/>
          <w:szCs w:val="21"/>
        </w:rPr>
        <w:t>招标文件前附表</w:t>
      </w:r>
      <w:r>
        <w:rPr>
          <w:rFonts w:hint="eastAsia" w:ascii="宋体" w:hAnsi="宋体"/>
          <w:szCs w:val="21"/>
        </w:rPr>
        <w:t>相关规定。</w:t>
      </w:r>
    </w:p>
    <w:p>
      <w:pPr>
        <w:widowControl/>
        <w:adjustRightInd w:val="0"/>
        <w:snapToGrid w:val="0"/>
        <w:spacing w:beforeLines="50" w:line="360" w:lineRule="auto"/>
        <w:ind w:firstLine="420" w:firstLineChars="200"/>
        <w:jc w:val="left"/>
        <w:rPr>
          <w:rFonts w:ascii="宋体" w:hAnsi="宋体"/>
          <w:szCs w:val="21"/>
        </w:rPr>
      </w:pPr>
      <w:r>
        <w:rPr>
          <w:rFonts w:hint="eastAsia" w:ascii="宋体" w:hAnsi="宋体" w:cs="宋体"/>
          <w:kern w:val="0"/>
          <w:szCs w:val="21"/>
        </w:rPr>
        <w:t>5.6</w:t>
      </w:r>
      <w:r>
        <w:rPr>
          <w:rFonts w:hint="eastAsia" w:ascii="宋体" w:hAnsi="宋体"/>
          <w:szCs w:val="21"/>
        </w:rPr>
        <w:t>评标时，评标委员会各成员应当独立对每个投标人的</w:t>
      </w:r>
      <w:r>
        <w:rPr>
          <w:rFonts w:hint="eastAsia" w:ascii="宋体" w:hAnsi="宋体"/>
          <w:bCs/>
          <w:szCs w:val="21"/>
        </w:rPr>
        <w:t>投标文件</w:t>
      </w:r>
      <w:r>
        <w:rPr>
          <w:rFonts w:hint="eastAsia" w:ascii="宋体" w:hAnsi="宋体"/>
          <w:szCs w:val="21"/>
        </w:rPr>
        <w:t>进行评价、评分，然后汇总每个投标人每项评分因素的得分。</w:t>
      </w:r>
    </w:p>
    <w:p>
      <w:pPr>
        <w:tabs>
          <w:tab w:val="left" w:pos="0"/>
        </w:tabs>
        <w:adjustRightInd w:val="0"/>
        <w:snapToGrid w:val="0"/>
        <w:spacing w:beforeLines="50" w:line="360" w:lineRule="auto"/>
        <w:ind w:firstLine="413" w:firstLineChars="196"/>
        <w:rPr>
          <w:rFonts w:ascii="宋体" w:hAnsi="宋体"/>
          <w:b/>
          <w:szCs w:val="21"/>
        </w:rPr>
      </w:pPr>
      <w:bookmarkStart w:id="84" w:name="_Toc29952_WPSOffice_Level3"/>
      <w:r>
        <w:rPr>
          <w:rFonts w:hint="eastAsia" w:ascii="宋体" w:hAnsi="宋体"/>
          <w:b/>
          <w:szCs w:val="21"/>
        </w:rPr>
        <w:t>6. 推荐中标候选人名单</w:t>
      </w:r>
      <w:bookmarkEnd w:id="84"/>
    </w:p>
    <w:p>
      <w:pPr>
        <w:tabs>
          <w:tab w:val="left" w:pos="0"/>
        </w:tabs>
        <w:adjustRightInd w:val="0"/>
        <w:snapToGrid w:val="0"/>
        <w:spacing w:beforeLines="50" w:line="360" w:lineRule="auto"/>
        <w:ind w:firstLine="420" w:firstLineChars="200"/>
        <w:rPr>
          <w:rFonts w:ascii="宋体" w:hAnsi="宋体"/>
          <w:bCs/>
          <w:szCs w:val="21"/>
        </w:rPr>
      </w:pPr>
      <w:r>
        <w:rPr>
          <w:rFonts w:hint="eastAsia" w:ascii="宋体" w:hAnsi="宋体"/>
          <w:szCs w:val="21"/>
        </w:rPr>
        <w:t>6.1</w:t>
      </w:r>
      <w:r>
        <w:rPr>
          <w:rFonts w:hint="eastAsia" w:ascii="宋体" w:hAnsi="宋体"/>
          <w:bCs/>
          <w:szCs w:val="21"/>
        </w:rPr>
        <w:t>按评审后得分由高到低顺序排列。得分相同的，按投标报价由低到高顺序排列。得分且投标报价相同的，按技术指标优劣顺序排列。</w:t>
      </w:r>
    </w:p>
    <w:p>
      <w:pPr>
        <w:tabs>
          <w:tab w:val="left" w:pos="0"/>
        </w:tabs>
        <w:adjustRightInd w:val="0"/>
        <w:snapToGrid w:val="0"/>
        <w:spacing w:beforeLines="50" w:line="360" w:lineRule="auto"/>
        <w:ind w:firstLine="420" w:firstLineChars="200"/>
        <w:rPr>
          <w:rFonts w:ascii="宋体" w:hAnsi="宋体"/>
          <w:b/>
          <w:szCs w:val="21"/>
        </w:rPr>
      </w:pPr>
      <w:r>
        <w:rPr>
          <w:rFonts w:hint="eastAsia" w:ascii="宋体" w:hAnsi="宋体"/>
          <w:bCs/>
          <w:szCs w:val="21"/>
        </w:rPr>
        <w:t>6.2</w:t>
      </w:r>
      <w:r>
        <w:rPr>
          <w:rFonts w:hint="eastAsia" w:ascii="宋体" w:hAnsi="宋体"/>
          <w:szCs w:val="21"/>
        </w:rPr>
        <w:t>中标候选人数量为1-3名，本次招标采购推荐的中标候选人数量见</w:t>
      </w:r>
      <w:r>
        <w:rPr>
          <w:rFonts w:hint="eastAsia" w:ascii="宋体" w:hAnsi="宋体"/>
          <w:b/>
          <w:szCs w:val="21"/>
        </w:rPr>
        <w:t>招标文件前附表。</w:t>
      </w: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tabs>
          <w:tab w:val="left" w:pos="0"/>
        </w:tabs>
        <w:adjustRightInd w:val="0"/>
        <w:snapToGrid w:val="0"/>
        <w:spacing w:beforeLines="50" w:line="360" w:lineRule="auto"/>
        <w:ind w:firstLine="422" w:firstLineChars="200"/>
        <w:rPr>
          <w:rFonts w:ascii="宋体" w:hAnsi="宋体"/>
          <w:b/>
          <w:szCs w:val="21"/>
        </w:rPr>
      </w:pPr>
    </w:p>
    <w:p>
      <w:pPr>
        <w:pStyle w:val="22"/>
        <w:adjustRightInd w:val="0"/>
        <w:snapToGrid w:val="0"/>
        <w:spacing w:beforeLines="50" w:line="360" w:lineRule="auto"/>
        <w:jc w:val="center"/>
        <w:outlineLvl w:val="1"/>
        <w:rPr>
          <w:rFonts w:ascii="黑体" w:hAnsi="华文中宋" w:eastAsia="黑体"/>
          <w:b/>
          <w:sz w:val="32"/>
          <w:szCs w:val="32"/>
        </w:rPr>
      </w:pPr>
      <w:r>
        <w:rPr>
          <w:rFonts w:ascii="黑体" w:hAnsi="华文中宋" w:eastAsia="黑体"/>
          <w:b/>
          <w:sz w:val="32"/>
          <w:szCs w:val="32"/>
        </w:rPr>
        <w:t xml:space="preserve"> </w:t>
      </w:r>
      <w:bookmarkStart w:id="85" w:name="_Toc10585_WPSOffice_Level1"/>
      <w:bookmarkStart w:id="86" w:name="_Toc536603243"/>
      <w:r>
        <w:rPr>
          <w:rFonts w:hint="eastAsia" w:ascii="黑体" w:hAnsi="华文中宋" w:eastAsia="黑体"/>
          <w:b/>
          <w:sz w:val="32"/>
          <w:szCs w:val="32"/>
        </w:rPr>
        <w:t>第三章 政府采购合同格式条款</w:t>
      </w:r>
      <w:bookmarkEnd w:id="85"/>
      <w:bookmarkEnd w:id="86"/>
    </w:p>
    <w:p>
      <w:pPr>
        <w:tabs>
          <w:tab w:val="left" w:pos="8820"/>
          <w:tab w:val="left" w:pos="9345"/>
          <w:tab w:val="left" w:pos="9765"/>
        </w:tabs>
        <w:adjustRightInd w:val="0"/>
        <w:snapToGrid w:val="0"/>
        <w:spacing w:beforeLines="50" w:line="360" w:lineRule="auto"/>
        <w:ind w:right="384" w:rightChars="183"/>
        <w:rPr>
          <w:rFonts w:ascii="宋体" w:hAnsi="宋体"/>
          <w:b/>
          <w:bCs/>
          <w:szCs w:val="21"/>
        </w:rPr>
      </w:pPr>
      <w:bookmarkStart w:id="87" w:name="_Toc22342_WPSOffice_Level2"/>
      <w:r>
        <w:rPr>
          <w:rFonts w:hint="eastAsia" w:ascii="宋体" w:hAnsi="宋体"/>
          <w:b/>
          <w:szCs w:val="21"/>
        </w:rPr>
        <w:t>1.</w:t>
      </w:r>
      <w:r>
        <w:rPr>
          <w:rFonts w:hint="eastAsia" w:ascii="宋体" w:hAnsi="宋体"/>
          <w:b/>
          <w:bCs/>
          <w:szCs w:val="21"/>
        </w:rPr>
        <w:t>定义</w:t>
      </w:r>
      <w:bookmarkEnd w:id="87"/>
    </w:p>
    <w:p>
      <w:pPr>
        <w:autoSpaceDE w:val="0"/>
        <w:autoSpaceDN w:val="0"/>
        <w:adjustRightInd w:val="0"/>
        <w:snapToGrid w:val="0"/>
        <w:spacing w:beforeLines="50" w:line="360" w:lineRule="auto"/>
        <w:ind w:firstLine="420" w:firstLineChars="200"/>
        <w:rPr>
          <w:rFonts w:ascii="宋体" w:hAnsi="宋体"/>
          <w:szCs w:val="21"/>
        </w:rPr>
      </w:pPr>
      <w:bookmarkStart w:id="88" w:name="_Toc10411_WPSOffice_Level3"/>
      <w:bookmarkStart w:id="89" w:name="_Toc8390_WPSOffice_Level3"/>
      <w:bookmarkStart w:id="90" w:name="_Toc24965_WPSOffice_Level3"/>
      <w:r>
        <w:rPr>
          <w:rFonts w:hint="eastAsia" w:ascii="宋体" w:hAnsi="宋体"/>
          <w:szCs w:val="21"/>
        </w:rPr>
        <w:t>1.1合同当事人</w:t>
      </w:r>
      <w:bookmarkEnd w:id="88"/>
      <w:bookmarkEnd w:id="89"/>
      <w:bookmarkEnd w:id="90"/>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（1）采购人(以下称甲方)是指使用财政性资金，通过政府采购程序向供应商购买货物、服务的国家机关、事业单位、团体组织。本次采购的甲方名称、地址见</w:t>
      </w:r>
      <w:r>
        <w:rPr>
          <w:rFonts w:hint="eastAsia" w:ascii="宋体" w:hAnsi="宋体"/>
          <w:b/>
          <w:szCs w:val="21"/>
        </w:rPr>
        <w:t>招标文件前附表。</w:t>
      </w:r>
    </w:p>
    <w:p>
      <w:pPr>
        <w:autoSpaceDE w:val="0"/>
        <w:autoSpaceDN w:val="0"/>
        <w:adjustRightInd w:val="0"/>
        <w:snapToGrid w:val="0"/>
        <w:spacing w:beforeLines="50" w:line="360" w:lineRule="auto"/>
        <w:ind w:firstLine="420" w:firstLineChars="200"/>
        <w:rPr>
          <w:rFonts w:ascii="宋体" w:hAnsi="宋体"/>
          <w:b/>
          <w:szCs w:val="21"/>
        </w:rPr>
      </w:pPr>
      <w:r>
        <w:rPr>
          <w:rFonts w:hint="eastAsia" w:ascii="宋体" w:hAnsi="宋体"/>
          <w:szCs w:val="21"/>
        </w:rPr>
        <w:t>（2）供应商(以下称乙方)是指参加政府采购活动而取得中标或成交结果，并向采购人提供货物、服务的法人、其他组织或者自然人。</w:t>
      </w:r>
    </w:p>
    <w:p>
      <w:pPr>
        <w:tabs>
          <w:tab w:val="left" w:pos="570"/>
          <w:tab w:val="left" w:pos="9240"/>
          <w:tab w:val="left" w:pos="9555"/>
        </w:tabs>
        <w:adjustRightInd w:val="0"/>
        <w:snapToGrid w:val="0"/>
        <w:spacing w:beforeLines="50" w:line="360" w:lineRule="auto"/>
        <w:ind w:firstLine="420" w:firstLineChars="200"/>
        <w:rPr>
          <w:rFonts w:ascii="宋体" w:hAnsi="宋体"/>
          <w:szCs w:val="21"/>
        </w:rPr>
      </w:pPr>
      <w:bookmarkStart w:id="91" w:name="_Toc20561_WPSOffice_Level3"/>
      <w:bookmarkStart w:id="92" w:name="_Toc5902_WPSOffice_Level3"/>
      <w:bookmarkStart w:id="93" w:name="_Toc26597_WPSOffice_Level3"/>
      <w:r>
        <w:rPr>
          <w:rFonts w:hint="eastAsia" w:ascii="宋体" w:hAnsi="宋体"/>
          <w:szCs w:val="21"/>
        </w:rPr>
        <w:t>1.2本合同下列术语应解释为：</w:t>
      </w:r>
      <w:bookmarkEnd w:id="91"/>
      <w:bookmarkEnd w:id="92"/>
      <w:bookmarkEnd w:id="93"/>
    </w:p>
    <w:p>
      <w:pPr>
        <w:tabs>
          <w:tab w:val="left" w:pos="570"/>
          <w:tab w:val="left" w:pos="924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（2）“合同价”系指根据本合同规定乙方在正确地完全履行合同义务后甲方应支付给乙方的价款。</w:t>
      </w:r>
    </w:p>
    <w:p>
      <w:pPr>
        <w:tabs>
          <w:tab w:val="left" w:pos="570"/>
          <w:tab w:val="left" w:pos="924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（3）“货物”系指乙方根据本合同规定须向甲方提供的各种形态和种类的物品，包括原材料、设备、产品(包括软件)及相关的其备品备件、工具、手册及其他技术资料和材料。</w:t>
      </w:r>
    </w:p>
    <w:p>
      <w:pPr>
        <w:tabs>
          <w:tab w:val="left" w:pos="570"/>
          <w:tab w:val="left" w:pos="888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（4）“伴随服务”系指根据本合同规定乙方承担与供货有关的辅助服务，如运输、保</w:t>
      </w:r>
      <w:r>
        <w:rPr>
          <w:rFonts w:hint="eastAsia" w:ascii="宋体" w:hAnsi="宋体"/>
          <w:spacing w:val="2"/>
          <w:szCs w:val="21"/>
        </w:rPr>
        <w:t>险以及其他的伴随服务，例如安装、调试、提供技术</w:t>
      </w:r>
      <w:r>
        <w:rPr>
          <w:rFonts w:hint="eastAsia" w:ascii="宋体" w:hAnsi="宋体"/>
          <w:szCs w:val="21"/>
        </w:rPr>
        <w:t>协</w:t>
      </w:r>
      <w:r>
        <w:rPr>
          <w:rFonts w:hint="eastAsia" w:ascii="宋体" w:hAnsi="宋体"/>
          <w:spacing w:val="2"/>
          <w:szCs w:val="21"/>
        </w:rPr>
        <w:t>助、培训和合同中规定</w:t>
      </w:r>
      <w:r>
        <w:rPr>
          <w:rFonts w:hint="eastAsia" w:ascii="宋体" w:hAnsi="宋体"/>
          <w:szCs w:val="21"/>
        </w:rPr>
        <w:t>乙方应承担的其他义务。</w:t>
      </w:r>
    </w:p>
    <w:p>
      <w:pPr>
        <w:tabs>
          <w:tab w:val="left" w:pos="570"/>
          <w:tab w:val="left" w:pos="924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（5）“合同条款”系指本合同条款。</w:t>
      </w:r>
    </w:p>
    <w:p>
      <w:pPr>
        <w:tabs>
          <w:tab w:val="left" w:pos="570"/>
          <w:tab w:val="left" w:pos="9240"/>
          <w:tab w:val="left" w:pos="9555"/>
        </w:tabs>
        <w:adjustRightInd w:val="0"/>
        <w:snapToGrid w:val="0"/>
        <w:spacing w:beforeLines="50" w:line="360" w:lineRule="auto"/>
        <w:ind w:right="-92" w:rightChars="-44" w:firstLine="420" w:firstLineChars="200"/>
        <w:rPr>
          <w:rFonts w:ascii="宋体" w:hAnsi="宋体"/>
          <w:szCs w:val="21"/>
        </w:rPr>
      </w:pPr>
      <w:r>
        <w:rPr>
          <w:rFonts w:hint="eastAsia" w:ascii="宋体" w:hAnsi="宋体"/>
          <w:szCs w:val="21"/>
        </w:rPr>
        <w:t>（6）“项目现场”系指本合同项下本项目设计、勘测、服务等所需服务的现场，其名称在</w:t>
      </w:r>
      <w:r>
        <w:rPr>
          <w:rFonts w:hint="eastAsia" w:ascii="宋体" w:hAnsi="宋体"/>
          <w:b/>
          <w:szCs w:val="21"/>
        </w:rPr>
        <w:t>招标文件前附表</w:t>
      </w:r>
      <w:r>
        <w:rPr>
          <w:rFonts w:hint="eastAsia" w:ascii="宋体" w:hAnsi="宋体"/>
          <w:szCs w:val="21"/>
        </w:rPr>
        <w:t>指明。</w:t>
      </w:r>
    </w:p>
    <w:p>
      <w:pPr>
        <w:autoSpaceDE w:val="0"/>
        <w:autoSpaceDN w:val="0"/>
        <w:adjustRightInd w:val="0"/>
        <w:snapToGrid w:val="0"/>
        <w:spacing w:beforeLines="50" w:line="360" w:lineRule="auto"/>
        <w:rPr>
          <w:rFonts w:ascii="宋体" w:hAnsi="宋体"/>
          <w:b/>
          <w:szCs w:val="21"/>
        </w:rPr>
      </w:pPr>
      <w:bookmarkStart w:id="94" w:name="_Toc478_WPSOffice_Level2"/>
      <w:r>
        <w:rPr>
          <w:rFonts w:hint="eastAsia" w:ascii="宋体" w:hAnsi="宋体"/>
          <w:b/>
          <w:szCs w:val="21"/>
        </w:rPr>
        <w:t>2.合同的适用范围</w:t>
      </w:r>
      <w:bookmarkEnd w:id="94"/>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2.1 本合同条款适用于没有被本合同其它部分的条款所取代的范围。</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2.2 合同内容根据招标文件、投标文件而确定。</w:t>
      </w:r>
    </w:p>
    <w:p>
      <w:pPr>
        <w:autoSpaceDE w:val="0"/>
        <w:autoSpaceDN w:val="0"/>
        <w:adjustRightInd w:val="0"/>
        <w:snapToGrid w:val="0"/>
        <w:spacing w:beforeLines="50" w:line="360" w:lineRule="auto"/>
        <w:rPr>
          <w:rFonts w:ascii="宋体" w:hAnsi="宋体"/>
          <w:b/>
          <w:bCs/>
          <w:szCs w:val="21"/>
        </w:rPr>
      </w:pPr>
      <w:bookmarkStart w:id="95" w:name="_Toc5972_WPSOffice_Level2"/>
      <w:r>
        <w:rPr>
          <w:rFonts w:hint="eastAsia" w:ascii="宋体" w:hAnsi="宋体"/>
          <w:b/>
          <w:bCs/>
          <w:szCs w:val="21"/>
        </w:rPr>
        <w:t>3.</w:t>
      </w:r>
      <w:r>
        <w:rPr>
          <w:rFonts w:hint="eastAsia" w:ascii="宋体" w:hAnsi="宋体"/>
          <w:b/>
          <w:szCs w:val="21"/>
        </w:rPr>
        <w:t>合同标的及金额</w:t>
      </w:r>
      <w:bookmarkEnd w:id="95"/>
    </w:p>
    <w:p>
      <w:pPr>
        <w:autoSpaceDE w:val="0"/>
        <w:autoSpaceDN w:val="0"/>
        <w:adjustRightInd w:val="0"/>
        <w:snapToGrid w:val="0"/>
        <w:spacing w:beforeLines="50" w:line="360" w:lineRule="auto"/>
        <w:ind w:firstLine="420" w:firstLineChars="200"/>
        <w:rPr>
          <w:rFonts w:ascii="宋体" w:hAnsi="宋体"/>
          <w:szCs w:val="21"/>
        </w:rPr>
      </w:pPr>
      <w:bookmarkStart w:id="96" w:name="_Toc14345_WPSOffice_Level3"/>
      <w:bookmarkStart w:id="97" w:name="_Toc11460_WPSOffice_Level3"/>
      <w:r>
        <w:rPr>
          <w:rFonts w:hint="eastAsia" w:ascii="宋体" w:hAnsi="宋体"/>
          <w:szCs w:val="21"/>
        </w:rPr>
        <w:t>3.1 合同标的及金额应与中标或成交结果一致。</w:t>
      </w:r>
      <w:bookmarkEnd w:id="96"/>
      <w:bookmarkEnd w:id="97"/>
    </w:p>
    <w:p>
      <w:pPr>
        <w:autoSpaceDE w:val="0"/>
        <w:autoSpaceDN w:val="0"/>
        <w:adjustRightInd w:val="0"/>
        <w:snapToGrid w:val="0"/>
        <w:spacing w:beforeLines="50" w:line="360" w:lineRule="auto"/>
        <w:rPr>
          <w:rFonts w:ascii="宋体" w:hAnsi="宋体"/>
          <w:b/>
          <w:bCs/>
          <w:szCs w:val="21"/>
        </w:rPr>
      </w:pPr>
      <w:bookmarkStart w:id="98" w:name="_Toc11051_WPSOffice_Level2"/>
      <w:r>
        <w:rPr>
          <w:rFonts w:hint="eastAsia" w:ascii="宋体" w:hAnsi="宋体"/>
          <w:b/>
          <w:bCs/>
          <w:szCs w:val="21"/>
        </w:rPr>
        <w:t>4.</w:t>
      </w:r>
      <w:r>
        <w:rPr>
          <w:rFonts w:hint="eastAsia" w:ascii="宋体" w:hAnsi="宋体"/>
          <w:b/>
          <w:szCs w:val="21"/>
        </w:rPr>
        <w:t>合同价款</w:t>
      </w:r>
      <w:bookmarkEnd w:id="98"/>
    </w:p>
    <w:p>
      <w:pPr>
        <w:adjustRightInd w:val="0"/>
        <w:snapToGrid w:val="0"/>
        <w:spacing w:beforeLines="50" w:line="360" w:lineRule="auto"/>
        <w:ind w:firstLine="560"/>
        <w:rPr>
          <w:rFonts w:ascii="宋体" w:hAnsi="宋体"/>
          <w:b/>
          <w:bCs/>
          <w:i/>
          <w:iCs/>
          <w:szCs w:val="21"/>
        </w:rPr>
      </w:pPr>
      <w:r>
        <w:rPr>
          <w:rFonts w:hint="eastAsia" w:ascii="宋体" w:hAnsi="宋体"/>
          <w:szCs w:val="21"/>
        </w:rPr>
        <w:t>4.1具体合同价款见本合同第3.1条。乙方为履行本合同而发生的所有费用均应包含在合同价款中，甲方不再另行支付其他任何费用。</w:t>
      </w:r>
    </w:p>
    <w:p>
      <w:pPr>
        <w:adjustRightInd w:val="0"/>
        <w:snapToGrid w:val="0"/>
        <w:spacing w:beforeLines="50" w:line="360" w:lineRule="auto"/>
        <w:rPr>
          <w:rFonts w:ascii="宋体" w:hAnsi="宋体"/>
          <w:b/>
          <w:szCs w:val="21"/>
        </w:rPr>
      </w:pPr>
      <w:bookmarkStart w:id="99" w:name="_Toc29499_WPSOffice_Level2"/>
      <w:r>
        <w:rPr>
          <w:rFonts w:hint="eastAsia" w:ascii="宋体" w:hAnsi="宋体"/>
          <w:b/>
          <w:szCs w:val="21"/>
        </w:rPr>
        <w:t>5.履行合同的时间、地点和方式</w:t>
      </w:r>
      <w:bookmarkEnd w:id="99"/>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5.1 乙方应当在甲方确定的时间、指定的地点履行合同，具体的交货时间、地点和方式见</w:t>
      </w:r>
      <w:r>
        <w:rPr>
          <w:rFonts w:hint="eastAsia" w:ascii="宋体" w:hAnsi="宋体"/>
          <w:b/>
          <w:szCs w:val="21"/>
        </w:rPr>
        <w:t>招标文件前附表</w:t>
      </w:r>
      <w:r>
        <w:rPr>
          <w:rFonts w:hint="eastAsia" w:ascii="宋体" w:hAnsi="宋体"/>
          <w:szCs w:val="21"/>
        </w:rPr>
        <w:t>。</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5.2 乙方提供服务的应当在甲方指定的地点完成服务项目。</w:t>
      </w:r>
    </w:p>
    <w:p>
      <w:pPr>
        <w:adjustRightInd w:val="0"/>
        <w:snapToGrid w:val="0"/>
        <w:spacing w:beforeLines="50" w:line="360" w:lineRule="auto"/>
        <w:rPr>
          <w:rFonts w:ascii="宋体" w:hAnsi="宋体"/>
          <w:b/>
          <w:bCs/>
          <w:szCs w:val="21"/>
        </w:rPr>
      </w:pPr>
      <w:bookmarkStart w:id="100" w:name="_Toc4845_WPSOffice_Level2"/>
      <w:r>
        <w:rPr>
          <w:rFonts w:hint="eastAsia" w:ascii="宋体" w:hAnsi="宋体"/>
          <w:b/>
          <w:bCs/>
          <w:szCs w:val="21"/>
        </w:rPr>
        <w:t>6.服务项目</w:t>
      </w:r>
      <w:r>
        <w:rPr>
          <w:rFonts w:hint="eastAsia" w:ascii="宋体" w:hAnsi="宋体"/>
          <w:b/>
          <w:szCs w:val="21"/>
        </w:rPr>
        <w:t>的验收</w:t>
      </w:r>
      <w:bookmarkEnd w:id="100"/>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6.1 甲方在收到乙方对本项目所有服务内容完工后应当及时组织验收。</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6.2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6.3 甲方在乙方按合同规定交货或完工后，无正当理由而拖延接收、验收或拒绝接收、验收的，应承担因此给乙方造成的直接损失。</w:t>
      </w:r>
    </w:p>
    <w:p>
      <w:pPr>
        <w:adjustRightInd w:val="0"/>
        <w:snapToGrid w:val="0"/>
        <w:spacing w:beforeLines="50" w:line="360" w:lineRule="auto"/>
        <w:rPr>
          <w:rFonts w:ascii="宋体" w:hAnsi="宋体"/>
          <w:b/>
          <w:bCs/>
          <w:szCs w:val="21"/>
        </w:rPr>
      </w:pPr>
      <w:bookmarkStart w:id="101" w:name="_Toc18211_WPSOffice_Level2"/>
      <w:r>
        <w:rPr>
          <w:rFonts w:hint="eastAsia" w:ascii="宋体" w:hAnsi="宋体"/>
          <w:b/>
          <w:bCs/>
          <w:szCs w:val="21"/>
        </w:rPr>
        <w:t>7.</w:t>
      </w:r>
      <w:bookmarkStart w:id="102" w:name="_Toc418504652"/>
      <w:r>
        <w:rPr>
          <w:rFonts w:hint="eastAsia" w:ascii="宋体" w:hAnsi="宋体"/>
          <w:b/>
          <w:bCs/>
          <w:szCs w:val="21"/>
        </w:rPr>
        <w:t>.运输和保险</w:t>
      </w:r>
      <w:bookmarkEnd w:id="101"/>
      <w:bookmarkEnd w:id="102"/>
    </w:p>
    <w:p>
      <w:pPr>
        <w:adjustRightInd w:val="0"/>
        <w:snapToGrid w:val="0"/>
        <w:spacing w:beforeLines="50" w:line="360" w:lineRule="auto"/>
        <w:ind w:firstLine="420" w:firstLineChars="200"/>
        <w:rPr>
          <w:rFonts w:ascii="宋体" w:hAnsi="宋体"/>
          <w:szCs w:val="21"/>
        </w:rPr>
      </w:pPr>
      <w:r>
        <w:rPr>
          <w:rFonts w:hint="eastAsia" w:ascii="宋体" w:hAnsi="宋体"/>
          <w:szCs w:val="21"/>
        </w:rPr>
        <w:t>7.1乙方在本项目服务过程中或服务完工后，产生的所运抵本合同第5.1条规定的交货地点的一切运输事项，相关费用应包括在合同总价中。</w:t>
      </w:r>
    </w:p>
    <w:p>
      <w:pPr>
        <w:adjustRightInd w:val="0"/>
        <w:snapToGrid w:val="0"/>
        <w:spacing w:beforeLines="50" w:line="360" w:lineRule="auto"/>
        <w:rPr>
          <w:rFonts w:ascii="宋体" w:hAnsi="宋体"/>
          <w:b/>
          <w:szCs w:val="21"/>
        </w:rPr>
      </w:pPr>
      <w:bookmarkStart w:id="103" w:name="_Toc16339_WPSOffice_Level2"/>
      <w:r>
        <w:rPr>
          <w:rFonts w:hint="eastAsia" w:ascii="宋体" w:hAnsi="宋体"/>
          <w:b/>
          <w:szCs w:val="21"/>
        </w:rPr>
        <w:t>8.质量标准和保证</w:t>
      </w:r>
      <w:bookmarkEnd w:id="103"/>
    </w:p>
    <w:p>
      <w:pPr>
        <w:pStyle w:val="22"/>
        <w:adjustRightInd w:val="0"/>
        <w:snapToGrid w:val="0"/>
        <w:spacing w:beforeLines="50" w:line="360" w:lineRule="auto"/>
        <w:ind w:firstLine="420" w:firstLineChars="200"/>
        <w:rPr>
          <w:rFonts w:hAnsi="宋体"/>
          <w:b/>
        </w:rPr>
      </w:pPr>
      <w:bookmarkStart w:id="104" w:name="_Toc30248_WPSOffice_Level3"/>
      <w:bookmarkStart w:id="105" w:name="_Toc9518_WPSOffice_Level3"/>
      <w:bookmarkStart w:id="106" w:name="_Toc26686_WPSOffice_Level3"/>
      <w:r>
        <w:rPr>
          <w:rFonts w:hint="eastAsia" w:hAnsi="宋体"/>
        </w:rPr>
        <w:t>8.1 质量标准</w:t>
      </w:r>
      <w:bookmarkEnd w:id="104"/>
      <w:bookmarkEnd w:id="105"/>
      <w:bookmarkEnd w:id="106"/>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（1）本合同下交付的服务应符合第八章“采购需求”所述的标准。如果没有提及适用标准，则应符合中华人民共和国有关机构发布的最新版本的标准。</w:t>
      </w:r>
    </w:p>
    <w:p>
      <w:pPr>
        <w:pStyle w:val="22"/>
        <w:adjustRightInd w:val="0"/>
        <w:snapToGrid w:val="0"/>
        <w:spacing w:beforeLines="50" w:line="360" w:lineRule="auto"/>
        <w:ind w:firstLine="420" w:firstLineChars="200"/>
        <w:rPr>
          <w:rFonts w:hAnsi="宋体"/>
        </w:rPr>
      </w:pPr>
      <w:r>
        <w:rPr>
          <w:rFonts w:hint="eastAsia" w:hAnsi="宋体"/>
        </w:rPr>
        <w:t>（2）采用中华人民共和国法定计量单位。</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（3）乙方所出售的货物还应符合国家有关安全、环保、卫生之规定。</w:t>
      </w:r>
    </w:p>
    <w:p>
      <w:pPr>
        <w:autoSpaceDE w:val="0"/>
        <w:autoSpaceDN w:val="0"/>
        <w:adjustRightInd w:val="0"/>
        <w:snapToGrid w:val="0"/>
        <w:spacing w:beforeLines="50" w:line="360" w:lineRule="auto"/>
        <w:ind w:firstLine="420" w:firstLineChars="200"/>
        <w:rPr>
          <w:rFonts w:ascii="宋体" w:hAnsi="宋体"/>
          <w:szCs w:val="21"/>
        </w:rPr>
      </w:pPr>
      <w:bookmarkStart w:id="107" w:name="_Toc740_WPSOffice_Level3"/>
      <w:bookmarkStart w:id="108" w:name="_Toc27030_WPSOffice_Level3"/>
      <w:bookmarkStart w:id="109" w:name="_Toc60_WPSOffice_Level3"/>
      <w:r>
        <w:rPr>
          <w:rFonts w:hint="eastAsia" w:ascii="宋体" w:hAnsi="宋体"/>
          <w:szCs w:val="21"/>
        </w:rPr>
        <w:t>8.2 保证</w:t>
      </w:r>
      <w:bookmarkEnd w:id="107"/>
      <w:bookmarkEnd w:id="108"/>
      <w:bookmarkEnd w:id="109"/>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（1）在本项目所有服务内容最终交付验收后不少于</w:t>
      </w:r>
      <w:r>
        <w:rPr>
          <w:rFonts w:hint="eastAsia" w:ascii="宋体" w:hAnsi="宋体"/>
          <w:b/>
          <w:szCs w:val="21"/>
        </w:rPr>
        <w:t>招标文件前附表</w:t>
      </w:r>
      <w:r>
        <w:rPr>
          <w:rFonts w:hint="eastAsia" w:ascii="宋体" w:hAnsi="宋体"/>
          <w:szCs w:val="21"/>
        </w:rPr>
        <w:t>规定或乙方承诺（两者以较长的为准）的质量保证期内，本保证保持有效。</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（2）在质量保证期内所发现的缺陷，甲方应尽快以书面形式通知乙方。</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（3）乙方收到通知后应在</w:t>
      </w:r>
      <w:r>
        <w:rPr>
          <w:rFonts w:hint="eastAsia" w:ascii="宋体" w:hAnsi="宋体"/>
          <w:b/>
          <w:szCs w:val="21"/>
        </w:rPr>
        <w:t>招标文件前附表</w:t>
      </w:r>
      <w:r>
        <w:rPr>
          <w:rFonts w:hint="eastAsia" w:ascii="宋体" w:hAnsi="宋体"/>
          <w:szCs w:val="21"/>
        </w:rPr>
        <w:t>规定的响应时间内以合理的速度解决本项目完工后产生的缺陷等相关问题，以达到招标文件的要求和投标文件的承诺。</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4）在质量保证期内，如果服务内容或标准与合同不符，或证实服务完工后成果是有缺陷的，包括潜在的缺陷或使用不符合要求的材料等，甲方可以根据本合同第15.1条规定以书面形式向乙方提出补救措施或索赔。</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（5）乙方在约定的时间内未能弥补缺陷，甲方可采取必要的补救措施，但其风险和费用将由乙方承担，甲方根据合同规定对乙方行使的其他权利不受影响。</w:t>
      </w:r>
    </w:p>
    <w:p>
      <w:pPr>
        <w:autoSpaceDE w:val="0"/>
        <w:autoSpaceDN w:val="0"/>
        <w:adjustRightInd w:val="0"/>
        <w:snapToGrid w:val="0"/>
        <w:spacing w:beforeLines="50" w:line="360" w:lineRule="auto"/>
        <w:rPr>
          <w:rFonts w:ascii="宋体" w:hAnsi="宋体"/>
          <w:b/>
          <w:bCs/>
          <w:szCs w:val="21"/>
        </w:rPr>
      </w:pPr>
      <w:bookmarkStart w:id="110" w:name="_Toc27247_WPSOffice_Level2"/>
      <w:r>
        <w:rPr>
          <w:rFonts w:hint="eastAsia" w:ascii="宋体" w:hAnsi="宋体"/>
          <w:b/>
          <w:bCs/>
          <w:szCs w:val="21"/>
        </w:rPr>
        <w:t>9.知识产权保护</w:t>
      </w:r>
      <w:bookmarkEnd w:id="110"/>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9.1 乙方对其所提供的服务应当享有知识产权或经权利人合法授权，保证没有侵犯任何第三人的知识产权和商业秘密等权利。</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9.2 甲方使用乙方提供的服务对第三人构成侵权的，应当由乙方承担全部法律责任，给甲方造成损害的，乙方应当承担赔偿责任。</w:t>
      </w:r>
    </w:p>
    <w:p>
      <w:pPr>
        <w:autoSpaceDE w:val="0"/>
        <w:autoSpaceDN w:val="0"/>
        <w:adjustRightInd w:val="0"/>
        <w:snapToGrid w:val="0"/>
        <w:spacing w:beforeLines="50" w:line="360" w:lineRule="auto"/>
        <w:rPr>
          <w:rFonts w:ascii="宋体" w:hAnsi="宋体"/>
          <w:b/>
          <w:bCs/>
          <w:szCs w:val="21"/>
        </w:rPr>
      </w:pPr>
      <w:bookmarkStart w:id="111" w:name="_Toc9085_WPSOffice_Level2"/>
      <w:r>
        <w:rPr>
          <w:rFonts w:hint="eastAsia" w:ascii="宋体" w:hAnsi="宋体"/>
          <w:b/>
          <w:bCs/>
          <w:szCs w:val="21"/>
        </w:rPr>
        <w:t>10.保密义务</w:t>
      </w:r>
      <w:bookmarkEnd w:id="111"/>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10.1 甲、乙双方在采购和履行合同过程中所获悉的对方属于保密的内容，双方均有保密义务。</w:t>
      </w:r>
    </w:p>
    <w:p>
      <w:pPr>
        <w:autoSpaceDE w:val="0"/>
        <w:autoSpaceDN w:val="0"/>
        <w:adjustRightInd w:val="0"/>
        <w:snapToGrid w:val="0"/>
        <w:spacing w:beforeLines="50" w:line="360" w:lineRule="auto"/>
        <w:rPr>
          <w:rFonts w:ascii="宋体" w:hAnsi="宋体"/>
          <w:b/>
          <w:bCs/>
          <w:szCs w:val="21"/>
        </w:rPr>
      </w:pPr>
      <w:bookmarkStart w:id="112" w:name="_Toc9937_WPSOffice_Level2"/>
      <w:r>
        <w:rPr>
          <w:rFonts w:hint="eastAsia" w:ascii="宋体" w:hAnsi="宋体"/>
          <w:b/>
          <w:bCs/>
          <w:szCs w:val="21"/>
        </w:rPr>
        <w:t>11.合同价款支付</w:t>
      </w:r>
      <w:bookmarkEnd w:id="112"/>
    </w:p>
    <w:p>
      <w:pPr>
        <w:adjustRightInd w:val="0"/>
        <w:snapToGrid w:val="0"/>
        <w:spacing w:beforeLines="50" w:line="360" w:lineRule="auto"/>
        <w:ind w:firstLine="420" w:firstLineChars="200"/>
        <w:rPr>
          <w:rFonts w:ascii="宋体" w:hAnsi="宋体"/>
          <w:szCs w:val="21"/>
        </w:rPr>
      </w:pPr>
      <w:r>
        <w:rPr>
          <w:rFonts w:hint="eastAsia" w:ascii="宋体" w:hAnsi="宋体"/>
          <w:szCs w:val="21"/>
        </w:rPr>
        <w:t>11.1验收合格后，乙方出具正规发票给甲方，凭甲方开具的《政府采购合同验收报告单》办理合同价</w:t>
      </w:r>
      <w:r>
        <w:rPr>
          <w:rFonts w:hint="eastAsia" w:ascii="宋体" w:hAnsi="宋体"/>
          <w:bCs/>
          <w:szCs w:val="21"/>
        </w:rPr>
        <w:t>款</w:t>
      </w:r>
      <w:r>
        <w:rPr>
          <w:rFonts w:hint="eastAsia" w:ascii="宋体" w:hAnsi="宋体"/>
          <w:szCs w:val="21"/>
        </w:rPr>
        <w:t>结算手续。</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11.2 合同价款构成中应当由财政支付的部分，甲方应当在货物验收合格后的十五个工作日内向国库管理部门申请支付，经国库管理部门审核后直接支付给乙方。</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11.3 合同价款构成中应当由甲方自行支付的部分，甲方应当在货物验收合格后十五个工作日内支付。</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11.4支付合同价</w:t>
      </w:r>
      <w:r>
        <w:rPr>
          <w:rFonts w:hint="eastAsia" w:ascii="宋体" w:hAnsi="宋体"/>
          <w:bCs/>
          <w:szCs w:val="21"/>
        </w:rPr>
        <w:t>款</w:t>
      </w:r>
      <w:r>
        <w:rPr>
          <w:rFonts w:hint="eastAsia" w:ascii="宋体" w:hAnsi="宋体"/>
          <w:szCs w:val="21"/>
        </w:rPr>
        <w:t>时，一律不向乙方以外的任何第三方办理付款手续。开户行和账号以签订的政府采购合同为准，如果乙方要求变更，则乙方必须提供加盖了财务专用章、法定代表人签字的证明文件，报经甲方审查同意。</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11.5 合同价款支付方式</w:t>
      </w:r>
      <w:r>
        <w:rPr>
          <w:rFonts w:hint="eastAsia" w:ascii="宋体" w:hAnsi="宋体"/>
          <w:bCs/>
          <w:szCs w:val="21"/>
        </w:rPr>
        <w:t>和条件在</w:t>
      </w:r>
      <w:r>
        <w:rPr>
          <w:rFonts w:hint="eastAsia" w:ascii="宋体" w:hAnsi="宋体"/>
          <w:b/>
          <w:szCs w:val="21"/>
        </w:rPr>
        <w:t>招标文件前附表</w:t>
      </w:r>
      <w:r>
        <w:rPr>
          <w:rFonts w:hint="eastAsia" w:ascii="宋体" w:hAnsi="宋体"/>
          <w:szCs w:val="21"/>
        </w:rPr>
        <w:t>中另有规定。</w:t>
      </w:r>
    </w:p>
    <w:p>
      <w:pPr>
        <w:autoSpaceDE w:val="0"/>
        <w:autoSpaceDN w:val="0"/>
        <w:adjustRightInd w:val="0"/>
        <w:snapToGrid w:val="0"/>
        <w:spacing w:beforeLines="50" w:line="360" w:lineRule="auto"/>
        <w:rPr>
          <w:rFonts w:ascii="宋体" w:hAnsi="宋体"/>
          <w:b/>
          <w:szCs w:val="21"/>
        </w:rPr>
      </w:pPr>
      <w:bookmarkStart w:id="113" w:name="_Toc4367_WPSOffice_Level2"/>
      <w:r>
        <w:rPr>
          <w:rFonts w:hint="eastAsia" w:ascii="宋体" w:hAnsi="宋体"/>
          <w:b/>
          <w:bCs/>
          <w:szCs w:val="21"/>
        </w:rPr>
        <w:t>12.</w:t>
      </w:r>
      <w:r>
        <w:rPr>
          <w:rFonts w:hint="eastAsia" w:ascii="宋体" w:hAnsi="宋体"/>
          <w:b/>
          <w:szCs w:val="21"/>
        </w:rPr>
        <w:t>伴随服务</w:t>
      </w:r>
      <w:bookmarkEnd w:id="113"/>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12.1 乙方应向甲方提交所提供服务的技术文件，包括相应的中文技术文件，如：产品目录、图纸、操作手册、使用说明、维护手册或服务指南。这些文件应包装好随同货物一起发运。</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12.2 乙方还应提供下列服务：</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（1）服务的技术支持；</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（2）在合同各方商定的一定期限内对所有的服务内容实施运行监督，但前提条件是该服务并不能免除乙方在质量保证期内所承担的义务；</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（3）</w:t>
      </w:r>
      <w:r>
        <w:rPr>
          <w:rFonts w:hint="eastAsia" w:ascii="宋体" w:hAnsi="宋体"/>
          <w:b/>
          <w:szCs w:val="21"/>
        </w:rPr>
        <w:t>招标文件前附表</w:t>
      </w:r>
      <w:r>
        <w:rPr>
          <w:rFonts w:hint="eastAsia" w:ascii="宋体" w:hAnsi="宋体"/>
          <w:szCs w:val="21"/>
        </w:rPr>
        <w:t>与第八章“采购需求”规定的其它伴随服务</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12.3 乙方提供的伴随服务的费用应包含在合同价款中，甲方不再另行支付。</w:t>
      </w:r>
    </w:p>
    <w:p>
      <w:pPr>
        <w:adjustRightInd w:val="0"/>
        <w:snapToGrid w:val="0"/>
        <w:spacing w:beforeLines="50" w:line="360" w:lineRule="auto"/>
        <w:rPr>
          <w:rFonts w:ascii="宋体" w:hAnsi="宋体"/>
          <w:b/>
          <w:bCs/>
          <w:szCs w:val="21"/>
        </w:rPr>
      </w:pPr>
      <w:bookmarkStart w:id="114" w:name="_Toc13971_WPSOffice_Level2"/>
      <w:r>
        <w:rPr>
          <w:rFonts w:hint="eastAsia" w:ascii="宋体" w:hAnsi="宋体"/>
          <w:b/>
          <w:bCs/>
          <w:szCs w:val="21"/>
        </w:rPr>
        <w:t>13.违约责任</w:t>
      </w:r>
      <w:bookmarkEnd w:id="114"/>
    </w:p>
    <w:p>
      <w:pPr>
        <w:adjustRightInd w:val="0"/>
        <w:snapToGrid w:val="0"/>
        <w:spacing w:beforeLines="50" w:line="360" w:lineRule="auto"/>
        <w:ind w:firstLine="420" w:firstLineChars="200"/>
        <w:rPr>
          <w:rFonts w:ascii="宋体" w:hAnsi="宋体"/>
          <w:bCs/>
          <w:szCs w:val="21"/>
        </w:rPr>
      </w:pPr>
      <w:bookmarkStart w:id="115" w:name="_Toc10575_WPSOffice_Level3"/>
      <w:bookmarkStart w:id="116" w:name="_Toc15202_WPSOffice_Level3"/>
      <w:bookmarkStart w:id="117" w:name="_Toc5759_WPSOffice_Level3"/>
      <w:r>
        <w:rPr>
          <w:rFonts w:hint="eastAsia" w:ascii="宋体" w:hAnsi="宋体"/>
          <w:bCs/>
          <w:szCs w:val="21"/>
        </w:rPr>
        <w:t>13.1</w:t>
      </w:r>
      <w:bookmarkEnd w:id="115"/>
      <w:bookmarkStart w:id="118" w:name="_Toc15516_WPSOffice_Level3"/>
      <w:r>
        <w:rPr>
          <w:rFonts w:hint="eastAsia" w:ascii="宋体" w:hAnsi="宋体"/>
          <w:bCs/>
          <w:szCs w:val="21"/>
        </w:rPr>
        <w:t xml:space="preserve"> 迟延交货的违约责任</w:t>
      </w:r>
      <w:bookmarkEnd w:id="116"/>
      <w:bookmarkEnd w:id="117"/>
      <w:bookmarkEnd w:id="118"/>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（2）除本合同</w:t>
      </w:r>
      <w:r>
        <w:rPr>
          <w:rFonts w:hint="eastAsia" w:ascii="宋体" w:hAnsi="宋体"/>
          <w:bCs/>
          <w:szCs w:val="21"/>
        </w:rPr>
        <w:t>第20条</w:t>
      </w:r>
      <w:r>
        <w:rPr>
          <w:rFonts w:hint="eastAsia" w:ascii="宋体" w:hAnsi="宋体"/>
          <w:szCs w:val="21"/>
        </w:rPr>
        <w:t>规定情况外，如果乙方没有按照合同规定的时间交货和提供服务，甲方有权从货款中扣除误期赔偿费而不影响合同项下的其它补救方法，赔偿费按每周（一周按七天计算，不足七天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beforeLines="50" w:line="360" w:lineRule="auto"/>
        <w:rPr>
          <w:rFonts w:ascii="宋体" w:hAnsi="宋体"/>
          <w:b/>
          <w:szCs w:val="21"/>
        </w:rPr>
      </w:pPr>
      <w:bookmarkStart w:id="119" w:name="_Toc19908_WPSOffice_Level2"/>
      <w:r>
        <w:rPr>
          <w:rFonts w:hint="eastAsia" w:ascii="宋体" w:hAnsi="宋体"/>
          <w:b/>
          <w:szCs w:val="21"/>
        </w:rPr>
        <w:t>14.合同的变更</w:t>
      </w:r>
      <w:bookmarkEnd w:id="119"/>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14.1 在合同履行过程中，甲、乙双方可就合同履行的时间、地点和方式等协商进行变更。协商一致后，双方应签订书面的补充协议。</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14.2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14.3 除双方签署书面协议，并成为合同不可分割的一部分外，本合同条件不得有任何变更。</w:t>
      </w:r>
    </w:p>
    <w:p>
      <w:pPr>
        <w:autoSpaceDE w:val="0"/>
        <w:autoSpaceDN w:val="0"/>
        <w:adjustRightInd w:val="0"/>
        <w:snapToGrid w:val="0"/>
        <w:spacing w:beforeLines="50" w:line="360" w:lineRule="auto"/>
        <w:rPr>
          <w:rFonts w:ascii="宋体" w:hAnsi="宋体"/>
          <w:b/>
          <w:szCs w:val="21"/>
        </w:rPr>
      </w:pPr>
      <w:bookmarkStart w:id="120" w:name="_Toc2441_WPSOffice_Level2"/>
      <w:r>
        <w:rPr>
          <w:rFonts w:hint="eastAsia" w:ascii="宋体" w:hAnsi="宋体"/>
          <w:b/>
          <w:szCs w:val="21"/>
        </w:rPr>
        <w:t>15.合同中止与终止</w:t>
      </w:r>
      <w:bookmarkEnd w:id="120"/>
    </w:p>
    <w:p>
      <w:pPr>
        <w:adjustRightInd w:val="0"/>
        <w:snapToGrid w:val="0"/>
        <w:spacing w:beforeLines="50" w:line="360" w:lineRule="auto"/>
        <w:ind w:firstLine="420" w:firstLineChars="200"/>
        <w:rPr>
          <w:rFonts w:ascii="宋体" w:hAnsi="宋体"/>
          <w:szCs w:val="21"/>
        </w:rPr>
      </w:pPr>
      <w:bookmarkStart w:id="121" w:name="_Toc17774_WPSOffice_Level3"/>
      <w:bookmarkStart w:id="122" w:name="_Toc6738_WPSOffice_Level3"/>
      <w:bookmarkStart w:id="123" w:name="_Toc15731_WPSOffice_Level3"/>
      <w:r>
        <w:rPr>
          <w:rFonts w:hint="eastAsia" w:ascii="宋体" w:hAnsi="宋体"/>
          <w:szCs w:val="21"/>
        </w:rPr>
        <w:t>15.1合同的中止</w:t>
      </w:r>
      <w:bookmarkEnd w:id="121"/>
      <w:bookmarkEnd w:id="122"/>
      <w:bookmarkEnd w:id="123"/>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（1）合同在履行过程中，因采购计划调整，甲方可以要求中止履行，待计划确定后继续履行；</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（2）合同履行过程中因供应商就采购过程或结果提起投诉的，甲方认为有必要或财政部门责令中止的，应当中止合同的履行。</w:t>
      </w:r>
    </w:p>
    <w:p>
      <w:pPr>
        <w:adjustRightInd w:val="0"/>
        <w:snapToGrid w:val="0"/>
        <w:spacing w:beforeLines="50" w:line="360" w:lineRule="auto"/>
        <w:ind w:firstLine="420" w:firstLineChars="200"/>
        <w:rPr>
          <w:rFonts w:ascii="宋体" w:hAnsi="宋体"/>
          <w:szCs w:val="21"/>
        </w:rPr>
      </w:pPr>
      <w:bookmarkStart w:id="124" w:name="_Toc24072_WPSOffice_Level3"/>
      <w:bookmarkStart w:id="125" w:name="_Toc18597_WPSOffice_Level3"/>
      <w:bookmarkStart w:id="126" w:name="_Toc2104_WPSOffice_Level3"/>
      <w:r>
        <w:rPr>
          <w:rFonts w:hint="eastAsia" w:ascii="宋体" w:hAnsi="宋体"/>
          <w:szCs w:val="21"/>
        </w:rPr>
        <w:t>15.2合同的终止</w:t>
      </w:r>
      <w:bookmarkEnd w:id="124"/>
      <w:bookmarkEnd w:id="125"/>
      <w:bookmarkEnd w:id="126"/>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（1）合同因有效期限届满而终止；</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（2）乙方未能依照本合同约定条件履行合同，已构成根本性违约的，甲方有权终止本合同，并追究乙方的违约责任。</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（3）如果乙方丧失履约能力或被宣告破产，甲方可在任何时候以书面形式通知乙方终止合同而不给乙方补偿。</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（5）如果合同的履行将损害国家利益或社会公共利益，甲方有权终止合同的履行，给乙方造成损失的予以相应补偿。</w:t>
      </w:r>
    </w:p>
    <w:p>
      <w:pPr>
        <w:autoSpaceDE w:val="0"/>
        <w:autoSpaceDN w:val="0"/>
        <w:adjustRightInd w:val="0"/>
        <w:snapToGrid w:val="0"/>
        <w:spacing w:beforeLines="50" w:line="360" w:lineRule="auto"/>
        <w:rPr>
          <w:rFonts w:ascii="宋体" w:hAnsi="宋体"/>
          <w:b/>
          <w:bCs/>
          <w:szCs w:val="21"/>
        </w:rPr>
      </w:pPr>
      <w:bookmarkStart w:id="127" w:name="_Toc24524_WPSOffice_Level2"/>
      <w:r>
        <w:rPr>
          <w:rFonts w:hint="eastAsia" w:ascii="宋体" w:hAnsi="宋体"/>
          <w:b/>
          <w:bCs/>
          <w:szCs w:val="21"/>
        </w:rPr>
        <w:t>16.合同转让和分包</w:t>
      </w:r>
      <w:bookmarkEnd w:id="127"/>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16.1 乙方不得以任何形式将合同转包。</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16.2 乙方未在投标文件中说明，不得将</w:t>
      </w:r>
      <w:r>
        <w:rPr>
          <w:rFonts w:hint="eastAsia" w:ascii="宋体" w:hAnsi="宋体"/>
          <w:bCs/>
          <w:szCs w:val="21"/>
        </w:rPr>
        <w:t>合同</w:t>
      </w:r>
      <w:r>
        <w:rPr>
          <w:rFonts w:hint="eastAsia" w:ascii="宋体" w:hAnsi="宋体"/>
          <w:szCs w:val="21"/>
        </w:rPr>
        <w:t>的非主体、非关键性工作分包给他人。</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16.3 根据政府采购</w:t>
      </w:r>
      <w:r>
        <w:rPr>
          <w:rFonts w:hint="eastAsia" w:ascii="宋体" w:hAnsi="宋体" w:cs="宋体"/>
          <w:bCs/>
          <w:kern w:val="0"/>
          <w:szCs w:val="21"/>
        </w:rPr>
        <w:t>支持</w:t>
      </w:r>
      <w:r>
        <w:rPr>
          <w:rFonts w:hint="eastAsia" w:ascii="宋体" w:hAnsi="宋体"/>
          <w:szCs w:val="21"/>
        </w:rPr>
        <w:t>中小企业发展政策规定，经甲方同意，获得政府采购合同的大型企业可依法向中小企业分包。</w:t>
      </w:r>
    </w:p>
    <w:p>
      <w:pPr>
        <w:autoSpaceDE w:val="0"/>
        <w:autoSpaceDN w:val="0"/>
        <w:adjustRightInd w:val="0"/>
        <w:snapToGrid w:val="0"/>
        <w:spacing w:beforeLines="50" w:line="360" w:lineRule="auto"/>
        <w:rPr>
          <w:rFonts w:ascii="宋体" w:hAnsi="宋体"/>
          <w:b/>
          <w:bCs/>
          <w:szCs w:val="21"/>
        </w:rPr>
      </w:pPr>
      <w:bookmarkStart w:id="128" w:name="_Toc12054_WPSOffice_Level2"/>
      <w:r>
        <w:rPr>
          <w:rFonts w:hint="eastAsia" w:ascii="宋体" w:hAnsi="宋体"/>
          <w:b/>
          <w:bCs/>
          <w:szCs w:val="21"/>
        </w:rPr>
        <w:t>17.供应商的广告或宣传</w:t>
      </w:r>
      <w:bookmarkEnd w:id="128"/>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17.1 未经甲方事先书面许可，乙方不得以履行本政府采购合同为由，以广告或其他形式宣称其是政府采购指定供应商或其产品是政府采购指定产品。</w:t>
      </w:r>
    </w:p>
    <w:p>
      <w:pPr>
        <w:autoSpaceDE w:val="0"/>
        <w:autoSpaceDN w:val="0"/>
        <w:adjustRightInd w:val="0"/>
        <w:snapToGrid w:val="0"/>
        <w:spacing w:beforeLines="50" w:line="360" w:lineRule="auto"/>
        <w:rPr>
          <w:rFonts w:ascii="宋体" w:hAnsi="宋体"/>
          <w:b/>
          <w:bCs/>
          <w:szCs w:val="21"/>
        </w:rPr>
      </w:pPr>
      <w:bookmarkStart w:id="129" w:name="_Toc1559_WPSOffice_Level2"/>
      <w:r>
        <w:rPr>
          <w:rFonts w:hint="eastAsia" w:ascii="宋体" w:hAnsi="宋体"/>
          <w:b/>
          <w:bCs/>
          <w:szCs w:val="21"/>
        </w:rPr>
        <w:t>18.不可抗力</w:t>
      </w:r>
      <w:bookmarkEnd w:id="129"/>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18.1 不可抗力是指合同双方不可预见、不可避免、不可克服的自然灾害和社会事件。</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18.3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beforeLines="50" w:line="360" w:lineRule="auto"/>
        <w:rPr>
          <w:rFonts w:ascii="宋体" w:hAnsi="宋体"/>
          <w:b/>
          <w:bCs/>
          <w:szCs w:val="21"/>
        </w:rPr>
      </w:pPr>
      <w:bookmarkStart w:id="130" w:name="_Toc7586_WPSOffice_Level2"/>
      <w:r>
        <w:rPr>
          <w:rFonts w:hint="eastAsia" w:ascii="宋体" w:hAnsi="宋体"/>
          <w:b/>
          <w:bCs/>
          <w:szCs w:val="21"/>
        </w:rPr>
        <w:t>19.解决争议的方法</w:t>
      </w:r>
      <w:bookmarkEnd w:id="130"/>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19.1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19.2 调解不成可以按</w:t>
      </w:r>
      <w:r>
        <w:rPr>
          <w:rFonts w:hint="eastAsia" w:ascii="宋体" w:hAnsi="宋体"/>
          <w:b/>
          <w:szCs w:val="21"/>
        </w:rPr>
        <w:t>招标文件前附表</w:t>
      </w:r>
      <w:r>
        <w:rPr>
          <w:rFonts w:hint="eastAsia" w:ascii="宋体" w:hAnsi="宋体"/>
          <w:szCs w:val="21"/>
        </w:rPr>
        <w:t>中规定下列方式之一提起仲裁或诉讼：</w:t>
      </w:r>
    </w:p>
    <w:p>
      <w:pPr>
        <w:autoSpaceDE w:val="0"/>
        <w:autoSpaceDN w:val="0"/>
        <w:adjustRightInd w:val="0"/>
        <w:snapToGrid w:val="0"/>
        <w:spacing w:beforeLines="50" w:line="360" w:lineRule="auto"/>
        <w:ind w:firstLine="420" w:firstLineChars="200"/>
        <w:rPr>
          <w:rFonts w:ascii="宋体" w:hAnsi="宋体"/>
          <w:szCs w:val="21"/>
        </w:rPr>
      </w:pPr>
      <w:bookmarkStart w:id="131" w:name="_Toc1756_WPSOffice_Level3"/>
      <w:bookmarkStart w:id="132" w:name="_Toc19175_WPSOffice_Level3"/>
      <w:bookmarkStart w:id="133" w:name="_Toc32715_WPSOffice_Level3"/>
      <w:r>
        <w:rPr>
          <w:rFonts w:hint="eastAsia" w:ascii="宋体" w:hAnsi="宋体"/>
          <w:szCs w:val="21"/>
        </w:rPr>
        <w:t>（1）向甲方所在地仲裁机构提起仲裁；</w:t>
      </w:r>
      <w:bookmarkEnd w:id="131"/>
      <w:bookmarkEnd w:id="132"/>
      <w:bookmarkEnd w:id="133"/>
    </w:p>
    <w:p>
      <w:pPr>
        <w:autoSpaceDE w:val="0"/>
        <w:autoSpaceDN w:val="0"/>
        <w:adjustRightInd w:val="0"/>
        <w:snapToGrid w:val="0"/>
        <w:spacing w:beforeLines="50" w:line="360" w:lineRule="auto"/>
        <w:ind w:firstLine="420" w:firstLineChars="200"/>
        <w:rPr>
          <w:rFonts w:ascii="宋体" w:hAnsi="宋体"/>
          <w:szCs w:val="21"/>
        </w:rPr>
      </w:pPr>
      <w:bookmarkStart w:id="134" w:name="_Toc15813_WPSOffice_Level3"/>
      <w:bookmarkStart w:id="135" w:name="_Toc21096_WPSOffice_Level3"/>
      <w:bookmarkStart w:id="136" w:name="_Toc9124_WPSOffice_Level3"/>
      <w:r>
        <w:rPr>
          <w:rFonts w:hint="eastAsia" w:ascii="宋体" w:hAnsi="宋体"/>
          <w:szCs w:val="21"/>
        </w:rPr>
        <w:t>（2）向甲方所在地人民法院提起诉讼。</w:t>
      </w:r>
      <w:bookmarkEnd w:id="134"/>
      <w:bookmarkEnd w:id="135"/>
      <w:bookmarkEnd w:id="136"/>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19.3 如仲裁或诉讼事项不影响合同其他部分的履行，则在仲裁或诉讼期间，除正在进行仲裁或诉讼的部分外，合同的其他部分应继续执行。</w:t>
      </w:r>
    </w:p>
    <w:p>
      <w:pPr>
        <w:autoSpaceDE w:val="0"/>
        <w:autoSpaceDN w:val="0"/>
        <w:adjustRightInd w:val="0"/>
        <w:snapToGrid w:val="0"/>
        <w:spacing w:beforeLines="50" w:line="360" w:lineRule="auto"/>
        <w:rPr>
          <w:rFonts w:ascii="宋体" w:hAnsi="宋体"/>
          <w:b/>
          <w:szCs w:val="21"/>
        </w:rPr>
      </w:pPr>
      <w:bookmarkStart w:id="137" w:name="_Toc19212_WPSOffice_Level2"/>
      <w:r>
        <w:rPr>
          <w:rFonts w:hint="eastAsia" w:ascii="宋体" w:hAnsi="宋体"/>
          <w:b/>
          <w:szCs w:val="21"/>
        </w:rPr>
        <w:t>20.法律适用</w:t>
      </w:r>
      <w:bookmarkEnd w:id="137"/>
    </w:p>
    <w:p>
      <w:pPr>
        <w:autoSpaceDE w:val="0"/>
        <w:autoSpaceDN w:val="0"/>
        <w:adjustRightInd w:val="0"/>
        <w:snapToGrid w:val="0"/>
        <w:spacing w:beforeLines="50" w:line="360" w:lineRule="auto"/>
        <w:ind w:firstLine="420" w:firstLineChars="200"/>
        <w:rPr>
          <w:rFonts w:ascii="宋体" w:hAnsi="宋体"/>
          <w:szCs w:val="21"/>
        </w:rPr>
      </w:pPr>
      <w:r>
        <w:rPr>
          <w:rFonts w:hint="eastAsia" w:ascii="宋体" w:hAnsi="宋体"/>
          <w:szCs w:val="21"/>
        </w:rPr>
        <w:t>20.1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beforeLines="50" w:line="360" w:lineRule="auto"/>
        <w:rPr>
          <w:rFonts w:ascii="宋体" w:hAnsi="宋体"/>
          <w:b/>
          <w:szCs w:val="21"/>
        </w:rPr>
      </w:pPr>
      <w:bookmarkStart w:id="138" w:name="_Toc1575_WPSOffice_Level2"/>
      <w:r>
        <w:rPr>
          <w:rFonts w:hint="eastAsia" w:ascii="宋体" w:hAnsi="宋体"/>
          <w:b/>
          <w:bCs/>
          <w:szCs w:val="21"/>
        </w:rPr>
        <w:t>21.</w:t>
      </w:r>
      <w:r>
        <w:rPr>
          <w:rFonts w:hint="eastAsia" w:ascii="宋体" w:hAnsi="宋体"/>
          <w:b/>
          <w:szCs w:val="21"/>
        </w:rPr>
        <w:t>通知</w:t>
      </w:r>
      <w:bookmarkEnd w:id="138"/>
    </w:p>
    <w:p>
      <w:pPr>
        <w:adjustRightInd w:val="0"/>
        <w:snapToGrid w:val="0"/>
        <w:spacing w:beforeLines="50" w:line="360" w:lineRule="auto"/>
        <w:ind w:firstLine="420" w:firstLineChars="200"/>
        <w:rPr>
          <w:rFonts w:ascii="宋体" w:hAnsi="宋体"/>
          <w:szCs w:val="21"/>
        </w:rPr>
      </w:pPr>
      <w:r>
        <w:rPr>
          <w:rFonts w:hint="eastAsia" w:ascii="宋体" w:hAnsi="宋体"/>
          <w:szCs w:val="21"/>
        </w:rPr>
        <w:t>21.1本合同一方给另一方的通知均应采用书面形式，传真或快递送到本合同中规定的对方的地址和办理签收手续。</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21.2通知以送到之日或通知书中规定的生效之日起生效，两者中以较迟之日为准。</w:t>
      </w:r>
    </w:p>
    <w:p>
      <w:pPr>
        <w:adjustRightInd w:val="0"/>
        <w:snapToGrid w:val="0"/>
        <w:spacing w:beforeLines="50" w:line="360" w:lineRule="auto"/>
        <w:rPr>
          <w:rFonts w:ascii="宋体" w:hAnsi="宋体"/>
          <w:b/>
          <w:bCs/>
          <w:szCs w:val="21"/>
        </w:rPr>
      </w:pPr>
      <w:bookmarkStart w:id="139" w:name="_Toc16977_WPSOffice_Level2"/>
      <w:r>
        <w:rPr>
          <w:rFonts w:hint="eastAsia" w:ascii="宋体" w:hAnsi="宋体"/>
          <w:b/>
          <w:bCs/>
          <w:szCs w:val="21"/>
        </w:rPr>
        <w:t>22.合同未尽事项</w:t>
      </w:r>
      <w:bookmarkEnd w:id="139"/>
    </w:p>
    <w:p>
      <w:pPr>
        <w:adjustRightInd w:val="0"/>
        <w:snapToGrid w:val="0"/>
        <w:spacing w:beforeLines="50" w:line="360" w:lineRule="auto"/>
        <w:ind w:firstLine="420" w:firstLineChars="200"/>
        <w:rPr>
          <w:rFonts w:ascii="宋体" w:hAnsi="宋体"/>
          <w:b/>
          <w:szCs w:val="21"/>
        </w:rPr>
      </w:pPr>
      <w:bookmarkStart w:id="140" w:name="_Toc22952_WPSOffice_Level3"/>
      <w:bookmarkStart w:id="141" w:name="_Toc15260_WPSOffice_Level3"/>
      <w:bookmarkStart w:id="142" w:name="_Toc273_WPSOffice_Level3"/>
      <w:r>
        <w:rPr>
          <w:rFonts w:hint="eastAsia" w:ascii="宋体" w:hAnsi="宋体"/>
          <w:bCs/>
          <w:szCs w:val="21"/>
        </w:rPr>
        <w:t>22.1合同未尽事项见</w:t>
      </w:r>
      <w:r>
        <w:rPr>
          <w:rFonts w:hint="eastAsia" w:ascii="宋体" w:hAnsi="宋体"/>
          <w:b/>
          <w:szCs w:val="21"/>
        </w:rPr>
        <w:t>招标文件前附表。</w:t>
      </w:r>
      <w:bookmarkEnd w:id="140"/>
      <w:bookmarkEnd w:id="141"/>
      <w:bookmarkEnd w:id="142"/>
    </w:p>
    <w:p>
      <w:pPr>
        <w:adjustRightInd w:val="0"/>
        <w:snapToGrid w:val="0"/>
        <w:spacing w:beforeLines="50" w:line="360" w:lineRule="auto"/>
        <w:rPr>
          <w:rFonts w:ascii="宋体" w:hAnsi="宋体"/>
          <w:b/>
          <w:szCs w:val="21"/>
        </w:rPr>
      </w:pPr>
      <w:bookmarkStart w:id="143" w:name="_Toc30727_WPSOffice_Level2"/>
      <w:r>
        <w:rPr>
          <w:rFonts w:hint="eastAsia" w:ascii="宋体" w:hAnsi="宋体"/>
          <w:b/>
          <w:szCs w:val="21"/>
        </w:rPr>
        <w:t>23.合同生效</w:t>
      </w:r>
      <w:bookmarkEnd w:id="143"/>
    </w:p>
    <w:p>
      <w:pPr>
        <w:adjustRightInd w:val="0"/>
        <w:snapToGrid w:val="0"/>
        <w:spacing w:beforeLines="50" w:line="360" w:lineRule="auto"/>
        <w:ind w:firstLine="420"/>
        <w:rPr>
          <w:rFonts w:ascii="宋体" w:hAnsi="宋体"/>
          <w:szCs w:val="21"/>
        </w:rPr>
      </w:pPr>
      <w:bookmarkStart w:id="144" w:name="_Toc30557_WPSOffice_Level3"/>
      <w:bookmarkStart w:id="145" w:name="_Toc8369_WPSOffice_Level3"/>
      <w:bookmarkStart w:id="146" w:name="_Toc4790_WPSOffice_Level3"/>
      <w:r>
        <w:rPr>
          <w:rFonts w:hint="eastAsia" w:ascii="宋体" w:hAnsi="宋体"/>
          <w:szCs w:val="21"/>
        </w:rPr>
        <w:t>23.1本合同在合同双方签字盖章后生效。</w:t>
      </w:r>
      <w:bookmarkEnd w:id="144"/>
      <w:bookmarkEnd w:id="145"/>
      <w:bookmarkEnd w:id="146"/>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szCs w:val="21"/>
        </w:rPr>
      </w:pPr>
    </w:p>
    <w:p>
      <w:pPr>
        <w:adjustRightInd w:val="0"/>
        <w:snapToGrid w:val="0"/>
        <w:spacing w:beforeLines="50" w:line="360" w:lineRule="auto"/>
        <w:ind w:firstLine="420"/>
        <w:rPr>
          <w:rFonts w:ascii="宋体" w:hAnsi="宋体"/>
          <w:bCs/>
          <w:szCs w:val="21"/>
        </w:rPr>
      </w:pPr>
    </w:p>
    <w:p>
      <w:pPr>
        <w:pStyle w:val="22"/>
        <w:adjustRightInd w:val="0"/>
        <w:snapToGrid w:val="0"/>
        <w:spacing w:beforeLines="50" w:line="360" w:lineRule="auto"/>
        <w:jc w:val="center"/>
        <w:outlineLvl w:val="1"/>
        <w:rPr>
          <w:rFonts w:ascii="黑体" w:hAnsi="华文中宋" w:eastAsia="黑体"/>
          <w:b/>
          <w:sz w:val="32"/>
          <w:szCs w:val="32"/>
        </w:rPr>
      </w:pPr>
      <w:r>
        <w:rPr>
          <w:rFonts w:hint="eastAsia" w:ascii="黑体" w:hAnsi="华文中宋" w:eastAsia="黑体"/>
          <w:b/>
          <w:sz w:val="32"/>
          <w:szCs w:val="32"/>
        </w:rPr>
        <w:t xml:space="preserve"> </w:t>
      </w:r>
      <w:bookmarkStart w:id="147" w:name="_Toc14435_WPSOffice_Level1"/>
      <w:bookmarkStart w:id="148" w:name="_Toc536603244"/>
      <w:r>
        <w:rPr>
          <w:rFonts w:hint="eastAsia" w:ascii="黑体" w:hAnsi="华文中宋" w:eastAsia="黑体"/>
          <w:b/>
          <w:sz w:val="32"/>
          <w:szCs w:val="32"/>
        </w:rPr>
        <w:t>第四章 政府采购合同协议书</w:t>
      </w:r>
      <w:bookmarkEnd w:id="147"/>
      <w:bookmarkEnd w:id="148"/>
    </w:p>
    <w:p>
      <w:pPr>
        <w:jc w:val="center"/>
        <w:rPr>
          <w:rFonts w:ascii="宋体" w:hAnsi="宋体"/>
          <w:sz w:val="24"/>
        </w:rPr>
      </w:pPr>
      <w:r>
        <w:rPr>
          <w:rFonts w:hint="eastAsia" w:ascii="宋体" w:hAnsi="宋体"/>
          <w:sz w:val="24"/>
        </w:rPr>
        <w:t xml:space="preserve">                                  </w:t>
      </w:r>
    </w:p>
    <w:p>
      <w:pPr>
        <w:spacing w:line="360" w:lineRule="auto"/>
        <w:ind w:right="560" w:firstLine="5145"/>
        <w:rPr>
          <w:rFonts w:ascii="宋体"/>
          <w:b/>
          <w:bCs/>
          <w:u w:val="single"/>
        </w:rPr>
      </w:pPr>
      <w:r>
        <w:rPr>
          <w:rFonts w:hint="eastAsia" w:ascii="宋体" w:hAnsi="宋体" w:cs="宋体"/>
        </w:rPr>
        <w:t>政府采购编号：</w:t>
      </w:r>
      <w:r>
        <w:rPr>
          <w:rFonts w:hint="eastAsia" w:ascii="宋体" w:hAnsi="宋体" w:cs="宋体"/>
          <w:u w:val="single"/>
        </w:rPr>
        <w:t xml:space="preserve">                          </w:t>
      </w:r>
    </w:p>
    <w:p>
      <w:pPr>
        <w:spacing w:line="360" w:lineRule="auto"/>
        <w:ind w:firstLine="420" w:firstLineChars="200"/>
        <w:rPr>
          <w:rFonts w:ascii="宋体"/>
        </w:rPr>
      </w:pPr>
      <w:r>
        <w:rPr>
          <w:rFonts w:hint="eastAsia" w:ascii="宋体" w:hAnsi="宋体" w:cs="宋体"/>
        </w:rPr>
        <w:t>采购人（全称）：</w:t>
      </w:r>
      <w:r>
        <w:rPr>
          <w:rFonts w:hint="eastAsia" w:ascii="宋体" w:hAnsi="宋体" w:cs="宋体"/>
          <w:u w:val="single"/>
        </w:rPr>
        <w:t xml:space="preserve">                    </w:t>
      </w:r>
      <w:r>
        <w:rPr>
          <w:rFonts w:hint="eastAsia" w:ascii="宋体" w:hAnsi="宋体" w:cs="宋体"/>
        </w:rPr>
        <w:t>（甲方）</w:t>
      </w:r>
    </w:p>
    <w:p>
      <w:pPr>
        <w:spacing w:line="360" w:lineRule="auto"/>
        <w:ind w:firstLine="420" w:firstLineChars="200"/>
        <w:rPr>
          <w:rFonts w:ascii="宋体"/>
        </w:rPr>
      </w:pPr>
      <w:r>
        <w:rPr>
          <w:rFonts w:hint="eastAsia" w:ascii="宋体" w:hAnsi="宋体" w:cs="宋体"/>
        </w:rPr>
        <w:t>供应商（全称）：</w:t>
      </w:r>
      <w:r>
        <w:rPr>
          <w:rFonts w:hint="eastAsia" w:ascii="宋体" w:hAnsi="宋体" w:cs="宋体"/>
          <w:u w:val="single"/>
        </w:rPr>
        <w:t xml:space="preserve">                    </w:t>
      </w:r>
      <w:r>
        <w:rPr>
          <w:rFonts w:hint="eastAsia" w:ascii="宋体" w:hAnsi="宋体" w:cs="宋体"/>
        </w:rPr>
        <w:t>（乙方）</w:t>
      </w:r>
    </w:p>
    <w:p>
      <w:pPr>
        <w:spacing w:line="360" w:lineRule="auto"/>
        <w:ind w:left="420"/>
        <w:rPr>
          <w:rFonts w:ascii="宋体"/>
        </w:rPr>
      </w:pPr>
    </w:p>
    <w:p>
      <w:pPr>
        <w:spacing w:line="360" w:lineRule="auto"/>
        <w:ind w:firstLine="420"/>
        <w:rPr>
          <w:rFonts w:ascii="宋体"/>
        </w:rPr>
      </w:pPr>
      <w:r>
        <w:rPr>
          <w:rFonts w:hint="eastAsia" w:ascii="宋体" w:hAnsi="宋体" w:cs="宋体"/>
        </w:rPr>
        <w:t>为了保护甲、乙双方合法权益，根据《中华人民共和国合同法》、《中华人民共和国政府采购法》及其他有关法律、法规、规章，双方签订本合同协议书。</w:t>
      </w:r>
    </w:p>
    <w:p>
      <w:pPr>
        <w:spacing w:line="360" w:lineRule="auto"/>
        <w:ind w:firstLine="422"/>
        <w:rPr>
          <w:rFonts w:ascii="宋体"/>
          <w:b/>
          <w:bCs/>
        </w:rPr>
      </w:pPr>
      <w:bookmarkStart w:id="149" w:name="_Toc18655_WPSOffice_Level2"/>
      <w:r>
        <w:rPr>
          <w:rFonts w:ascii="宋体" w:hAnsi="宋体" w:cs="宋体"/>
          <w:b/>
          <w:bCs/>
        </w:rPr>
        <w:t>1.</w:t>
      </w:r>
      <w:r>
        <w:rPr>
          <w:rFonts w:hint="eastAsia" w:ascii="宋体" w:hAnsi="宋体" w:cs="宋体"/>
          <w:b/>
          <w:bCs/>
        </w:rPr>
        <w:t>项目信息</w:t>
      </w:r>
      <w:bookmarkEnd w:id="149"/>
    </w:p>
    <w:p>
      <w:pPr>
        <w:spacing w:line="360" w:lineRule="auto"/>
        <w:ind w:left="420"/>
        <w:rPr>
          <w:rFonts w:ascii="宋体"/>
          <w:u w:val="single"/>
        </w:rPr>
      </w:pPr>
      <w:bookmarkStart w:id="150" w:name="_Toc8008_WPSOffice_Level3"/>
      <w:bookmarkStart w:id="151" w:name="_Toc14843_WPSOffice_Level3"/>
      <w:bookmarkStart w:id="152" w:name="_Toc10956_WPSOffice_Level3"/>
      <w:r>
        <w:rPr>
          <w:rFonts w:hint="eastAsia" w:ascii="宋体" w:hAnsi="宋体" w:cs="宋体"/>
        </w:rPr>
        <w:t>（</w:t>
      </w:r>
      <w:r>
        <w:rPr>
          <w:rFonts w:ascii="宋体" w:hAnsi="宋体" w:cs="宋体"/>
        </w:rPr>
        <w:t>1</w:t>
      </w:r>
      <w:r>
        <w:rPr>
          <w:rFonts w:hint="eastAsia" w:ascii="宋体" w:hAnsi="宋体" w:cs="宋体"/>
        </w:rPr>
        <w:t>）采购组织形式：</w:t>
      </w:r>
      <w:bookmarkEnd w:id="150"/>
      <w:bookmarkEnd w:id="151"/>
      <w:bookmarkEnd w:id="152"/>
      <w:r>
        <w:rPr>
          <w:rFonts w:hint="eastAsia" w:ascii="宋体" w:hAnsi="宋体" w:cs="宋体"/>
          <w:u w:val="single"/>
        </w:rPr>
        <w:t xml:space="preserve">                            </w:t>
      </w:r>
    </w:p>
    <w:p>
      <w:pPr>
        <w:spacing w:line="360" w:lineRule="auto"/>
        <w:ind w:left="420"/>
        <w:rPr>
          <w:rFonts w:ascii="宋体"/>
        </w:rPr>
      </w:pPr>
      <w:bookmarkStart w:id="153" w:name="_Toc15943_WPSOffice_Level3"/>
      <w:bookmarkStart w:id="154" w:name="_Toc15546_WPSOffice_Level3"/>
      <w:bookmarkStart w:id="155" w:name="_Toc17173_WPSOffice_Level3"/>
      <w:r>
        <w:rPr>
          <w:rFonts w:hint="eastAsia" w:ascii="宋体" w:hAnsi="宋体" w:cs="宋体"/>
        </w:rPr>
        <w:t>（</w:t>
      </w:r>
      <w:r>
        <w:rPr>
          <w:rFonts w:ascii="宋体" w:hAnsi="宋体" w:cs="宋体"/>
        </w:rPr>
        <w:t>2</w:t>
      </w:r>
      <w:r>
        <w:rPr>
          <w:rFonts w:hint="eastAsia" w:ascii="宋体" w:hAnsi="宋体" w:cs="宋体"/>
        </w:rPr>
        <w:t>）采购方式：</w:t>
      </w:r>
      <w:bookmarkEnd w:id="153"/>
      <w:bookmarkEnd w:id="154"/>
      <w:bookmarkEnd w:id="155"/>
      <w:r>
        <w:rPr>
          <w:rFonts w:hint="eastAsia" w:ascii="宋体" w:hAnsi="宋体" w:cs="宋体"/>
          <w:u w:val="single"/>
        </w:rPr>
        <w:t xml:space="preserve">                            </w:t>
      </w:r>
    </w:p>
    <w:p>
      <w:pPr>
        <w:spacing w:line="360" w:lineRule="auto"/>
        <w:ind w:firstLine="420"/>
        <w:rPr>
          <w:rFonts w:ascii="宋体"/>
        </w:rPr>
      </w:pPr>
      <w:bookmarkStart w:id="156" w:name="_Toc15316_WPSOffice_Level3"/>
      <w:bookmarkStart w:id="157" w:name="_Toc27950_WPSOffice_Level3"/>
      <w:bookmarkStart w:id="158" w:name="_Toc6012_WPSOffice_Level3"/>
      <w:r>
        <w:rPr>
          <w:rFonts w:hint="eastAsia" w:ascii="宋体" w:hAnsi="宋体" w:cs="宋体"/>
        </w:rPr>
        <w:t>（</w:t>
      </w:r>
      <w:r>
        <w:rPr>
          <w:rFonts w:ascii="宋体" w:hAnsi="宋体" w:cs="宋体"/>
        </w:rPr>
        <w:t>3</w:t>
      </w:r>
      <w:r>
        <w:rPr>
          <w:rFonts w:hint="eastAsia" w:ascii="宋体" w:hAnsi="宋体" w:cs="宋体"/>
        </w:rPr>
        <w:t>）项目名称：</w:t>
      </w:r>
      <w:bookmarkEnd w:id="156"/>
      <w:bookmarkEnd w:id="157"/>
      <w:bookmarkEnd w:id="158"/>
      <w:r>
        <w:rPr>
          <w:rFonts w:hint="eastAsia" w:ascii="宋体" w:hAnsi="宋体" w:cs="宋体"/>
          <w:u w:val="single"/>
        </w:rPr>
        <w:t xml:space="preserve">                                </w:t>
      </w:r>
    </w:p>
    <w:p>
      <w:pPr>
        <w:spacing w:line="360" w:lineRule="auto"/>
        <w:ind w:firstLine="413"/>
        <w:rPr>
          <w:rFonts w:ascii="宋体" w:hAnsi="宋体" w:cs="宋体"/>
          <w:b/>
          <w:bCs/>
        </w:rPr>
      </w:pPr>
      <w:bookmarkStart w:id="159" w:name="_Toc31791_WPSOffice_Level2"/>
      <w:r>
        <w:rPr>
          <w:rFonts w:ascii="宋体" w:hAnsi="宋体" w:cs="宋体"/>
          <w:b/>
          <w:bCs/>
        </w:rPr>
        <w:t>2.</w:t>
      </w:r>
      <w:r>
        <w:rPr>
          <w:rFonts w:hint="eastAsia" w:ascii="宋体" w:hAnsi="宋体" w:cs="宋体"/>
          <w:b/>
          <w:bCs/>
        </w:rPr>
        <w:t>合同标的及金额</w:t>
      </w:r>
      <w:bookmarkEnd w:id="159"/>
    </w:p>
    <w:tbl>
      <w:tblPr>
        <w:tblStyle w:val="40"/>
        <w:tblpPr w:leftFromText="180" w:rightFromText="180" w:vertAnchor="text" w:horzAnchor="page" w:tblpX="1789" w:tblpY="130"/>
        <w:tblOverlap w:val="never"/>
        <w:tblW w:w="8754"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900"/>
        <w:gridCol w:w="1236"/>
        <w:gridCol w:w="1125"/>
        <w:gridCol w:w="1125"/>
        <w:gridCol w:w="1125"/>
        <w:gridCol w:w="112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8"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序号</w:t>
            </w:r>
          </w:p>
        </w:tc>
        <w:tc>
          <w:tcPr>
            <w:tcW w:w="1900"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标的名称</w:t>
            </w:r>
          </w:p>
        </w:tc>
        <w:tc>
          <w:tcPr>
            <w:tcW w:w="1236"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型号规格</w:t>
            </w:r>
          </w:p>
        </w:tc>
        <w:tc>
          <w:tcPr>
            <w:tcW w:w="1125"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数量</w:t>
            </w:r>
          </w:p>
        </w:tc>
        <w:tc>
          <w:tcPr>
            <w:tcW w:w="1125"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单价</w:t>
            </w:r>
          </w:p>
        </w:tc>
        <w:tc>
          <w:tcPr>
            <w:tcW w:w="1125"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总价</w:t>
            </w:r>
          </w:p>
        </w:tc>
        <w:tc>
          <w:tcPr>
            <w:tcW w:w="1125"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8" w:type="dxa"/>
            <w:vAlign w:val="center"/>
          </w:tcPr>
          <w:p>
            <w:pPr>
              <w:adjustRightInd w:val="0"/>
              <w:snapToGrid w:val="0"/>
              <w:spacing w:beforeLines="50" w:line="360" w:lineRule="auto"/>
              <w:jc w:val="center"/>
              <w:rPr>
                <w:rFonts w:ascii="宋体" w:hAnsi="宋体"/>
                <w:szCs w:val="21"/>
              </w:rPr>
            </w:pPr>
          </w:p>
        </w:tc>
        <w:tc>
          <w:tcPr>
            <w:tcW w:w="1900" w:type="dxa"/>
            <w:vAlign w:val="center"/>
          </w:tcPr>
          <w:p>
            <w:pPr>
              <w:adjustRightInd w:val="0"/>
              <w:snapToGrid w:val="0"/>
              <w:spacing w:beforeLines="50" w:line="360" w:lineRule="auto"/>
              <w:jc w:val="center"/>
              <w:rPr>
                <w:rFonts w:ascii="宋体" w:hAnsi="宋体"/>
                <w:szCs w:val="21"/>
              </w:rPr>
            </w:pPr>
          </w:p>
        </w:tc>
        <w:tc>
          <w:tcPr>
            <w:tcW w:w="1236"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8" w:type="dxa"/>
            <w:vAlign w:val="center"/>
          </w:tcPr>
          <w:p>
            <w:pPr>
              <w:adjustRightInd w:val="0"/>
              <w:snapToGrid w:val="0"/>
              <w:spacing w:beforeLines="50" w:line="360" w:lineRule="auto"/>
              <w:jc w:val="center"/>
              <w:rPr>
                <w:rFonts w:ascii="宋体" w:hAnsi="宋体"/>
                <w:szCs w:val="21"/>
              </w:rPr>
            </w:pPr>
          </w:p>
        </w:tc>
        <w:tc>
          <w:tcPr>
            <w:tcW w:w="1900" w:type="dxa"/>
            <w:vAlign w:val="center"/>
          </w:tcPr>
          <w:p>
            <w:pPr>
              <w:adjustRightInd w:val="0"/>
              <w:snapToGrid w:val="0"/>
              <w:spacing w:beforeLines="50" w:line="360" w:lineRule="auto"/>
              <w:jc w:val="center"/>
              <w:rPr>
                <w:rFonts w:ascii="宋体" w:hAnsi="宋体"/>
                <w:szCs w:val="21"/>
              </w:rPr>
            </w:pPr>
          </w:p>
        </w:tc>
        <w:tc>
          <w:tcPr>
            <w:tcW w:w="1236"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c>
          <w:tcPr>
            <w:tcW w:w="1125" w:type="dxa"/>
            <w:vAlign w:val="center"/>
          </w:tcPr>
          <w:p>
            <w:pPr>
              <w:adjustRightInd w:val="0"/>
              <w:snapToGrid w:val="0"/>
              <w:spacing w:beforeLines="50"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4" w:type="dxa"/>
            <w:gridSpan w:val="7"/>
            <w:vAlign w:val="center"/>
          </w:tcPr>
          <w:p>
            <w:pPr>
              <w:adjustRightInd w:val="0"/>
              <w:snapToGrid w:val="0"/>
              <w:spacing w:beforeLines="50" w:line="360" w:lineRule="auto"/>
              <w:rPr>
                <w:rFonts w:ascii="宋体" w:hAnsi="宋体"/>
                <w:szCs w:val="21"/>
              </w:rPr>
            </w:pPr>
            <w:r>
              <w:rPr>
                <w:rFonts w:hint="eastAsia" w:ascii="宋体" w:hAnsi="宋体"/>
                <w:szCs w:val="21"/>
              </w:rPr>
              <w:t>合同金额小写：</w:t>
            </w:r>
            <w:r>
              <w:rPr>
                <w:rFonts w:hint="eastAsia" w:ascii="宋体" w:hAnsi="宋体"/>
                <w:szCs w:val="21"/>
                <w:u w:val="single"/>
              </w:rPr>
              <w:t xml:space="preserve">                      </w:t>
            </w:r>
          </w:p>
          <w:p>
            <w:pPr>
              <w:adjustRightInd w:val="0"/>
              <w:snapToGrid w:val="0"/>
              <w:spacing w:beforeLines="50" w:line="360" w:lineRule="auto"/>
              <w:ind w:firstLine="840" w:firstLineChars="400"/>
              <w:rPr>
                <w:rFonts w:ascii="宋体" w:hAnsi="宋体"/>
                <w:szCs w:val="21"/>
              </w:rPr>
            </w:pPr>
            <w:r>
              <w:rPr>
                <w:rFonts w:hint="eastAsia" w:ascii="宋体" w:hAnsi="宋体"/>
                <w:szCs w:val="21"/>
              </w:rPr>
              <w:t>大写：</w:t>
            </w:r>
            <w:r>
              <w:rPr>
                <w:rFonts w:hint="eastAsia" w:ascii="宋体" w:hAnsi="宋体"/>
                <w:szCs w:val="21"/>
                <w:u w:val="single"/>
              </w:rPr>
              <w:t xml:space="preserve">                      </w:t>
            </w:r>
          </w:p>
        </w:tc>
      </w:tr>
    </w:tbl>
    <w:p>
      <w:pPr>
        <w:spacing w:line="360" w:lineRule="auto"/>
        <w:ind w:firstLine="422" w:firstLineChars="200"/>
        <w:rPr>
          <w:rFonts w:ascii="宋体"/>
          <w:u w:val="single"/>
        </w:rPr>
      </w:pPr>
      <w:bookmarkStart w:id="160" w:name="_Toc15182_WPSOffice_Level2"/>
      <w:r>
        <w:rPr>
          <w:rFonts w:ascii="宋体" w:hAnsi="宋体" w:cs="宋体"/>
          <w:b/>
          <w:bCs/>
        </w:rPr>
        <w:t>3.</w:t>
      </w:r>
      <w:r>
        <w:rPr>
          <w:rFonts w:hint="eastAsia" w:ascii="宋体" w:hAnsi="宋体" w:cs="宋体"/>
          <w:b/>
          <w:bCs/>
        </w:rPr>
        <w:t>履行合同的时间、地点及方式</w:t>
      </w:r>
      <w:bookmarkEnd w:id="160"/>
    </w:p>
    <w:p>
      <w:pPr>
        <w:spacing w:line="360" w:lineRule="auto"/>
        <w:ind w:firstLine="630" w:firstLineChars="300"/>
        <w:rPr>
          <w:rFonts w:ascii="宋体"/>
        </w:rPr>
      </w:pPr>
      <w:r>
        <w:rPr>
          <w:rFonts w:hint="eastAsia" w:ascii="宋体" w:hAnsi="宋体" w:cs="宋体"/>
        </w:rPr>
        <w:t>起始日期：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日，完成日期：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日。总日历天数：</w:t>
      </w:r>
      <w:r>
        <w:rPr>
          <w:rFonts w:hint="eastAsia" w:ascii="宋体" w:hAnsi="宋体" w:cs="宋体"/>
          <w:u w:val="single"/>
        </w:rPr>
        <w:t xml:space="preserve">      </w:t>
      </w:r>
      <w:r>
        <w:rPr>
          <w:rFonts w:hint="eastAsia" w:ascii="宋体" w:hAnsi="宋体" w:cs="宋体"/>
        </w:rPr>
        <w:t>天。</w:t>
      </w:r>
    </w:p>
    <w:p>
      <w:pPr>
        <w:spacing w:line="360" w:lineRule="auto"/>
        <w:ind w:firstLine="630"/>
        <w:rPr>
          <w:rFonts w:ascii="宋体"/>
          <w:u w:val="single"/>
        </w:rPr>
      </w:pPr>
      <w:r>
        <w:rPr>
          <w:rFonts w:hint="eastAsia" w:ascii="宋体" w:hAnsi="宋体" w:cs="宋体"/>
        </w:rPr>
        <w:t>地点</w:t>
      </w:r>
      <w:r>
        <w:rPr>
          <w:rFonts w:hint="eastAsia" w:ascii="宋体" w:hAnsi="宋体" w:cs="宋体"/>
          <w:bCs/>
        </w:rPr>
        <w:t>：</w:t>
      </w:r>
      <w:r>
        <w:rPr>
          <w:rFonts w:hint="eastAsia" w:ascii="宋体" w:hAnsi="宋体" w:cs="宋体"/>
          <w:bCs/>
          <w:u w:val="single"/>
        </w:rPr>
        <w:t xml:space="preserve">                            </w:t>
      </w:r>
    </w:p>
    <w:p>
      <w:pPr>
        <w:spacing w:line="360" w:lineRule="auto"/>
        <w:ind w:firstLine="630"/>
        <w:rPr>
          <w:rFonts w:ascii="宋体"/>
          <w:u w:val="single"/>
        </w:rPr>
      </w:pPr>
      <w:r>
        <w:rPr>
          <w:rFonts w:hint="eastAsia" w:ascii="宋体" w:hAnsi="宋体" w:cs="宋体"/>
        </w:rPr>
        <w:t>方式：</w:t>
      </w:r>
      <w:r>
        <w:rPr>
          <w:rFonts w:hint="eastAsia" w:ascii="宋体" w:hAnsi="宋体" w:cs="宋体"/>
          <w:u w:val="single"/>
        </w:rPr>
        <w:t xml:space="preserve">                            </w:t>
      </w:r>
    </w:p>
    <w:p>
      <w:pPr>
        <w:spacing w:line="360" w:lineRule="auto"/>
        <w:ind w:firstLine="422"/>
        <w:rPr>
          <w:rFonts w:ascii="宋体"/>
        </w:rPr>
      </w:pPr>
      <w:bookmarkStart w:id="161" w:name="_Toc15737_WPSOffice_Level2"/>
      <w:r>
        <w:rPr>
          <w:rFonts w:ascii="宋体" w:hAnsi="宋体" w:cs="宋体"/>
          <w:b/>
          <w:bCs/>
        </w:rPr>
        <w:t>4.</w:t>
      </w:r>
      <w:r>
        <w:rPr>
          <w:rFonts w:hint="eastAsia" w:ascii="宋体" w:hAnsi="宋体" w:cs="宋体"/>
          <w:b/>
          <w:bCs/>
        </w:rPr>
        <w:t>付款：</w:t>
      </w:r>
      <w:r>
        <w:rPr>
          <w:rFonts w:hint="eastAsia" w:ascii="宋体" w:hAnsi="宋体" w:cs="宋体"/>
          <w:u w:val="single"/>
        </w:rPr>
        <w:t xml:space="preserve">                                                                         </w:t>
      </w:r>
      <w:r>
        <w:rPr>
          <w:rFonts w:hint="eastAsia" w:ascii="宋体" w:hAnsi="宋体" w:cs="宋体"/>
        </w:rPr>
        <w:t>。</w:t>
      </w:r>
      <w:bookmarkEnd w:id="161"/>
    </w:p>
    <w:p>
      <w:pPr>
        <w:spacing w:line="360" w:lineRule="auto"/>
        <w:ind w:firstLine="422"/>
        <w:rPr>
          <w:rFonts w:ascii="宋体"/>
          <w:b/>
          <w:bCs/>
        </w:rPr>
      </w:pPr>
      <w:bookmarkStart w:id="162" w:name="_Toc8914_WPSOffice_Level2"/>
      <w:r>
        <w:rPr>
          <w:rFonts w:ascii="宋体" w:hAnsi="宋体" w:cs="宋体"/>
          <w:b/>
          <w:bCs/>
        </w:rPr>
        <w:t>5.</w:t>
      </w:r>
      <w:r>
        <w:rPr>
          <w:rFonts w:hint="eastAsia" w:ascii="宋体" w:hAnsi="宋体" w:cs="宋体"/>
          <w:b/>
          <w:bCs/>
        </w:rPr>
        <w:t>解决合同纠纷方式</w:t>
      </w:r>
      <w:bookmarkEnd w:id="162"/>
    </w:p>
    <w:p>
      <w:pPr>
        <w:spacing w:line="360" w:lineRule="auto"/>
        <w:ind w:firstLine="420"/>
        <w:rPr>
          <w:rFonts w:ascii="宋体"/>
        </w:rPr>
      </w:pPr>
      <w:r>
        <w:rPr>
          <w:rFonts w:hint="eastAsia" w:ascii="宋体" w:hAnsi="宋体" w:cs="宋体"/>
        </w:rPr>
        <w:t>首先通过双方协商解决，协商解决不成，则通过以下途径之一解决纠纷：</w:t>
      </w:r>
    </w:p>
    <w:p>
      <w:pPr>
        <w:spacing w:line="360" w:lineRule="auto"/>
        <w:ind w:firstLine="840"/>
        <w:rPr>
          <w:rFonts w:ascii="宋体"/>
        </w:rPr>
      </w:pPr>
      <w:r>
        <w:rPr>
          <w:rFonts w:ascii="Segoe UI Symbol" w:hAnsi="Segoe UI Symbol" w:cs="Segoe UI Symbol"/>
        </w:rPr>
        <w:t>□</w:t>
      </w:r>
      <w:r>
        <w:rPr>
          <w:rFonts w:hint="eastAsia" w:ascii="Segoe UI Symbol" w:hAnsi="Segoe UI Symbol" w:cs="Segoe UI Symbol"/>
        </w:rPr>
        <w:t xml:space="preserve"> </w:t>
      </w:r>
      <w:r>
        <w:rPr>
          <w:rFonts w:hint="eastAsia" w:ascii="宋体" w:hAnsi="宋体" w:cs="宋体"/>
        </w:rPr>
        <w:t xml:space="preserve">提请仲裁           </w:t>
      </w:r>
      <w:r>
        <w:rPr>
          <w:rFonts w:ascii="Segoe UI Symbol" w:hAnsi="Segoe UI Symbol" w:cs="Segoe UI Symbol"/>
        </w:rPr>
        <w:t>□</w:t>
      </w:r>
      <w:r>
        <w:rPr>
          <w:rFonts w:hint="eastAsia" w:ascii="Segoe UI Symbol" w:hAnsi="Segoe UI Symbol" w:cs="Segoe UI Symbol"/>
        </w:rPr>
        <w:t xml:space="preserve"> </w:t>
      </w:r>
      <w:r>
        <w:rPr>
          <w:rFonts w:hint="eastAsia" w:ascii="宋体" w:hAnsi="宋体" w:cs="宋体"/>
        </w:rPr>
        <w:t>向人民法院提起诉讼</w:t>
      </w:r>
    </w:p>
    <w:p>
      <w:pPr>
        <w:spacing w:line="360" w:lineRule="auto"/>
        <w:ind w:firstLine="422"/>
        <w:rPr>
          <w:rFonts w:ascii="宋体"/>
          <w:b/>
          <w:bCs/>
        </w:rPr>
      </w:pPr>
      <w:bookmarkStart w:id="163" w:name="_Toc28653_WPSOffice_Level2"/>
      <w:r>
        <w:rPr>
          <w:rFonts w:ascii="宋体" w:hAnsi="宋体" w:cs="宋体"/>
          <w:b/>
          <w:bCs/>
        </w:rPr>
        <w:t>6.</w:t>
      </w:r>
      <w:r>
        <w:rPr>
          <w:rFonts w:hint="eastAsia" w:ascii="宋体" w:hAnsi="宋体" w:cs="宋体"/>
          <w:b/>
          <w:bCs/>
        </w:rPr>
        <w:t>组成合同的文件</w:t>
      </w:r>
      <w:bookmarkEnd w:id="163"/>
    </w:p>
    <w:p>
      <w:pPr>
        <w:adjustRightInd w:val="0"/>
        <w:snapToGrid w:val="0"/>
        <w:spacing w:beforeLines="50" w:line="360" w:lineRule="auto"/>
        <w:ind w:firstLine="420" w:firstLineChars="200"/>
        <w:rPr>
          <w:rFonts w:ascii="宋体" w:hAnsi="宋体"/>
          <w:szCs w:val="21"/>
        </w:rPr>
      </w:pPr>
      <w:r>
        <w:rPr>
          <w:rFonts w:hint="eastAsia" w:ascii="宋体" w:hAnsi="宋体"/>
          <w:szCs w:val="21"/>
        </w:rPr>
        <w:t>合同由以下文件构成，如下述文件之间有任何抵触、矛盾或歧义，应按以下顺序解释：</w:t>
      </w:r>
    </w:p>
    <w:p>
      <w:pPr>
        <w:adjustRightInd w:val="0"/>
        <w:snapToGrid w:val="0"/>
        <w:spacing w:beforeLines="50" w:line="360" w:lineRule="auto"/>
        <w:ind w:firstLine="420" w:firstLineChars="200"/>
        <w:rPr>
          <w:rFonts w:ascii="宋体" w:hAnsi="宋体"/>
          <w:szCs w:val="21"/>
        </w:rPr>
      </w:pPr>
      <w:bookmarkStart w:id="164" w:name="_Toc19356_WPSOffice_Level3"/>
      <w:bookmarkStart w:id="165" w:name="_Toc28330_WPSOffice_Level3"/>
      <w:bookmarkStart w:id="166" w:name="_Toc3864_WPSOffice_Level3"/>
      <w:r>
        <w:rPr>
          <w:rFonts w:hint="eastAsia" w:ascii="宋体" w:hAnsi="宋体"/>
          <w:szCs w:val="21"/>
        </w:rPr>
        <w:t>（1）在采购或合同履行过程中乙方作出的承诺以及双方协商达成的变更或补充协议</w:t>
      </w:r>
      <w:bookmarkEnd w:id="164"/>
      <w:bookmarkEnd w:id="165"/>
      <w:bookmarkEnd w:id="166"/>
    </w:p>
    <w:p>
      <w:pPr>
        <w:adjustRightInd w:val="0"/>
        <w:snapToGrid w:val="0"/>
        <w:spacing w:beforeLines="50" w:line="360" w:lineRule="auto"/>
        <w:ind w:firstLine="420" w:firstLineChars="200"/>
        <w:rPr>
          <w:rFonts w:ascii="宋体" w:hAnsi="宋体"/>
          <w:szCs w:val="21"/>
        </w:rPr>
      </w:pPr>
      <w:bookmarkStart w:id="167" w:name="_Toc15407_WPSOffice_Level3"/>
      <w:bookmarkStart w:id="168" w:name="_Toc4585_WPSOffice_Level3"/>
      <w:bookmarkStart w:id="169" w:name="_Toc25684_WPSOffice_Level3"/>
      <w:r>
        <w:rPr>
          <w:rFonts w:hint="eastAsia" w:ascii="宋体" w:hAnsi="宋体"/>
          <w:szCs w:val="21"/>
        </w:rPr>
        <w:t>（2）本合同协议书</w:t>
      </w:r>
      <w:bookmarkEnd w:id="167"/>
      <w:bookmarkEnd w:id="168"/>
      <w:bookmarkEnd w:id="169"/>
    </w:p>
    <w:p>
      <w:pPr>
        <w:adjustRightInd w:val="0"/>
        <w:snapToGrid w:val="0"/>
        <w:spacing w:beforeLines="50" w:line="360" w:lineRule="auto"/>
        <w:ind w:firstLine="420" w:firstLineChars="200"/>
        <w:rPr>
          <w:rFonts w:ascii="宋体" w:hAnsi="宋体"/>
          <w:szCs w:val="21"/>
        </w:rPr>
      </w:pPr>
      <w:bookmarkStart w:id="170" w:name="_Toc30187_WPSOffice_Level3"/>
      <w:bookmarkStart w:id="171" w:name="_Toc21095_WPSOffice_Level3"/>
      <w:bookmarkStart w:id="172" w:name="_Toc14810_WPSOffice_Level3"/>
      <w:r>
        <w:rPr>
          <w:rFonts w:hint="eastAsia" w:ascii="宋体" w:hAnsi="宋体"/>
          <w:szCs w:val="21"/>
        </w:rPr>
        <w:t>（3）中标或成交通知书</w:t>
      </w:r>
      <w:bookmarkEnd w:id="170"/>
      <w:bookmarkEnd w:id="171"/>
      <w:bookmarkEnd w:id="172"/>
    </w:p>
    <w:p>
      <w:pPr>
        <w:adjustRightInd w:val="0"/>
        <w:snapToGrid w:val="0"/>
        <w:spacing w:beforeLines="50" w:line="360" w:lineRule="auto"/>
        <w:ind w:firstLine="420" w:firstLineChars="200"/>
        <w:rPr>
          <w:rFonts w:ascii="宋体" w:hAnsi="宋体"/>
          <w:szCs w:val="21"/>
        </w:rPr>
      </w:pPr>
      <w:bookmarkStart w:id="173" w:name="_Toc28299_WPSOffice_Level3"/>
      <w:bookmarkStart w:id="174" w:name="_Toc12588_WPSOffice_Level3"/>
      <w:bookmarkStart w:id="175" w:name="_Toc12616_WPSOffice_Level3"/>
      <w:r>
        <w:rPr>
          <w:rFonts w:hint="eastAsia" w:ascii="宋体" w:hAnsi="宋体"/>
          <w:szCs w:val="21"/>
        </w:rPr>
        <w:t>（4）政府采购合同格式条款</w:t>
      </w:r>
      <w:bookmarkEnd w:id="173"/>
      <w:bookmarkEnd w:id="174"/>
      <w:bookmarkEnd w:id="175"/>
    </w:p>
    <w:p>
      <w:pPr>
        <w:adjustRightInd w:val="0"/>
        <w:snapToGrid w:val="0"/>
        <w:spacing w:beforeLines="50" w:line="360" w:lineRule="auto"/>
        <w:ind w:firstLine="420" w:firstLineChars="200"/>
        <w:rPr>
          <w:rFonts w:ascii="宋体" w:hAnsi="宋体"/>
          <w:szCs w:val="21"/>
        </w:rPr>
      </w:pPr>
      <w:bookmarkStart w:id="176" w:name="_Toc31394_WPSOffice_Level3"/>
      <w:bookmarkStart w:id="177" w:name="_Toc5968_WPSOffice_Level3"/>
      <w:bookmarkStart w:id="178" w:name="_Toc15339_WPSOffice_Level3"/>
      <w:r>
        <w:rPr>
          <w:rFonts w:hint="eastAsia" w:ascii="宋体" w:hAnsi="宋体"/>
          <w:szCs w:val="21"/>
        </w:rPr>
        <w:t>（5）投标文件</w:t>
      </w:r>
      <w:bookmarkEnd w:id="176"/>
      <w:bookmarkEnd w:id="177"/>
      <w:bookmarkEnd w:id="178"/>
    </w:p>
    <w:p>
      <w:pPr>
        <w:adjustRightInd w:val="0"/>
        <w:snapToGrid w:val="0"/>
        <w:spacing w:beforeLines="50" w:line="360" w:lineRule="auto"/>
        <w:ind w:firstLine="420" w:firstLineChars="200"/>
        <w:rPr>
          <w:rFonts w:ascii="宋体" w:hAnsi="宋体"/>
          <w:szCs w:val="21"/>
        </w:rPr>
      </w:pPr>
      <w:bookmarkStart w:id="179" w:name="_Toc32366_WPSOffice_Level3"/>
      <w:bookmarkStart w:id="180" w:name="_Toc32297_WPSOffice_Level3"/>
      <w:bookmarkStart w:id="181" w:name="_Toc29691_WPSOffice_Level3"/>
      <w:r>
        <w:rPr>
          <w:rFonts w:hint="eastAsia" w:ascii="宋体" w:hAnsi="宋体"/>
          <w:szCs w:val="21"/>
        </w:rPr>
        <w:t>（6）招标文件</w:t>
      </w:r>
      <w:bookmarkEnd w:id="179"/>
      <w:bookmarkEnd w:id="180"/>
      <w:bookmarkEnd w:id="181"/>
    </w:p>
    <w:p>
      <w:pPr>
        <w:adjustRightInd w:val="0"/>
        <w:snapToGrid w:val="0"/>
        <w:spacing w:beforeLines="50" w:line="360" w:lineRule="auto"/>
        <w:ind w:firstLine="420" w:firstLineChars="200"/>
        <w:rPr>
          <w:rFonts w:ascii="宋体" w:hAnsi="宋体"/>
          <w:szCs w:val="21"/>
        </w:rPr>
      </w:pPr>
      <w:bookmarkStart w:id="182" w:name="_Toc11620_WPSOffice_Level3"/>
      <w:bookmarkStart w:id="183" w:name="_Toc7969_WPSOffice_Level3"/>
      <w:bookmarkStart w:id="184" w:name="_Toc12302_WPSOffice_Level3"/>
      <w:r>
        <w:rPr>
          <w:rFonts w:hint="eastAsia" w:ascii="宋体" w:hAnsi="宋体"/>
          <w:szCs w:val="21"/>
        </w:rPr>
        <w:t>（7）标准、规范及有关技术文件</w:t>
      </w:r>
      <w:bookmarkEnd w:id="182"/>
      <w:bookmarkEnd w:id="183"/>
      <w:bookmarkEnd w:id="184"/>
    </w:p>
    <w:p>
      <w:pPr>
        <w:adjustRightInd w:val="0"/>
        <w:snapToGrid w:val="0"/>
        <w:spacing w:line="360" w:lineRule="auto"/>
        <w:ind w:firstLine="422" w:firstLineChars="200"/>
        <w:rPr>
          <w:rFonts w:ascii="宋体" w:hAnsi="宋体"/>
          <w:b/>
          <w:szCs w:val="21"/>
        </w:rPr>
      </w:pPr>
      <w:bookmarkStart w:id="185" w:name="_Toc3685_WPSOffice_Level2"/>
      <w:r>
        <w:rPr>
          <w:rFonts w:hint="eastAsia" w:ascii="宋体" w:hAnsi="宋体"/>
          <w:b/>
          <w:szCs w:val="21"/>
        </w:rPr>
        <w:t>7.合同生效</w:t>
      </w:r>
      <w:bookmarkEnd w:id="185"/>
    </w:p>
    <w:p>
      <w:pPr>
        <w:adjustRightInd w:val="0"/>
        <w:snapToGrid w:val="0"/>
        <w:spacing w:line="360" w:lineRule="auto"/>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pPr>
        <w:adjustRightInd w:val="0"/>
        <w:snapToGrid w:val="0"/>
        <w:spacing w:line="360" w:lineRule="auto"/>
        <w:ind w:firstLine="422" w:firstLineChars="200"/>
        <w:rPr>
          <w:rFonts w:ascii="宋体" w:hAnsi="宋体"/>
          <w:b/>
          <w:szCs w:val="21"/>
        </w:rPr>
      </w:pPr>
      <w:bookmarkStart w:id="186" w:name="_Toc15785_WPSOffice_Level2"/>
      <w:r>
        <w:rPr>
          <w:rFonts w:hint="eastAsia" w:ascii="宋体" w:hAnsi="宋体"/>
          <w:b/>
          <w:szCs w:val="21"/>
        </w:rPr>
        <w:t>8.合同份数</w:t>
      </w:r>
      <w:bookmarkEnd w:id="186"/>
    </w:p>
    <w:p>
      <w:pPr>
        <w:adjustRightInd w:val="0"/>
        <w:snapToGrid w:val="0"/>
        <w:spacing w:line="360" w:lineRule="auto"/>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份，采购人执</w:t>
      </w:r>
      <w:r>
        <w:rPr>
          <w:rFonts w:hint="eastAsia" w:ascii="宋体" w:hAnsi="宋体"/>
          <w:szCs w:val="21"/>
          <w:u w:val="single"/>
        </w:rPr>
        <w:t xml:space="preserve">    </w:t>
      </w:r>
      <w:r>
        <w:rPr>
          <w:rFonts w:hint="eastAsia" w:ascii="宋体" w:hAnsi="宋体"/>
          <w:szCs w:val="21"/>
        </w:rPr>
        <w:t>份，供应商执</w:t>
      </w:r>
      <w:r>
        <w:rPr>
          <w:rFonts w:hint="eastAsia" w:ascii="宋体" w:hAnsi="宋体"/>
          <w:szCs w:val="21"/>
          <w:u w:val="single"/>
        </w:rPr>
        <w:t xml:space="preserve">    </w:t>
      </w:r>
      <w:r>
        <w:rPr>
          <w:rFonts w:hint="eastAsia" w:ascii="宋体" w:hAnsi="宋体"/>
          <w:szCs w:val="21"/>
        </w:rPr>
        <w:t>份，对委托采购的项目负有监督管理职责的财政部门执</w:t>
      </w:r>
      <w:r>
        <w:rPr>
          <w:rFonts w:hint="eastAsia" w:ascii="宋体" w:hAnsi="宋体"/>
          <w:szCs w:val="21"/>
          <w:u w:val="single"/>
        </w:rPr>
        <w:t xml:space="preserve">    </w:t>
      </w:r>
      <w:r>
        <w:rPr>
          <w:rFonts w:hint="eastAsia" w:ascii="宋体" w:hAnsi="宋体"/>
          <w:szCs w:val="21"/>
        </w:rPr>
        <w:t>份，采购代理机构执</w:t>
      </w:r>
      <w:r>
        <w:rPr>
          <w:rFonts w:hint="eastAsia" w:ascii="宋体" w:hAnsi="宋体"/>
          <w:szCs w:val="21"/>
          <w:u w:val="single"/>
        </w:rPr>
        <w:t xml:space="preserve">    </w:t>
      </w:r>
      <w:r>
        <w:rPr>
          <w:rFonts w:hint="eastAsia" w:ascii="宋体" w:hAnsi="宋体"/>
          <w:szCs w:val="21"/>
        </w:rPr>
        <w:t>份，均具有同等法律效力。</w:t>
      </w:r>
    </w:p>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beforeLines="50" w:line="360" w:lineRule="auto"/>
        <w:rPr>
          <w:rFonts w:ascii="宋体"/>
        </w:rPr>
      </w:pPr>
      <w:r>
        <w:rPr>
          <w:rFonts w:hint="eastAsia" w:ascii="宋体" w:hAnsi="宋体"/>
          <w:szCs w:val="21"/>
        </w:rPr>
        <w:t>合同订立地点：</w:t>
      </w:r>
      <w:r>
        <w:rPr>
          <w:rFonts w:hint="eastAsia" w:ascii="宋体" w:hAnsi="宋体"/>
          <w:szCs w:val="21"/>
          <w:u w:val="single"/>
        </w:rPr>
        <w:t xml:space="preserve">                        </w:t>
      </w:r>
      <w:r>
        <w:rPr>
          <w:rFonts w:hint="eastAsia" w:ascii="宋体" w:hAnsi="宋体" w:cs="宋体"/>
          <w:u w:val="single"/>
        </w:rPr>
        <w:t xml:space="preserve">         </w:t>
      </w:r>
    </w:p>
    <w:tbl>
      <w:tblPr>
        <w:tblStyle w:val="40"/>
        <w:tblW w:w="8952" w:type="dxa"/>
        <w:tblInd w:w="108" w:type="dxa"/>
        <w:tblLayout w:type="fixed"/>
        <w:tblCellMar>
          <w:top w:w="0" w:type="dxa"/>
          <w:left w:w="108" w:type="dxa"/>
          <w:bottom w:w="0" w:type="dxa"/>
          <w:right w:w="108" w:type="dxa"/>
        </w:tblCellMar>
      </w:tblPr>
      <w:tblGrid>
        <w:gridCol w:w="4875"/>
        <w:gridCol w:w="4077"/>
      </w:tblGrid>
      <w:tr>
        <w:tblPrEx>
          <w:tblLayout w:type="fixed"/>
          <w:tblCellMar>
            <w:top w:w="0" w:type="dxa"/>
            <w:left w:w="108" w:type="dxa"/>
            <w:bottom w:w="0" w:type="dxa"/>
            <w:right w:w="108" w:type="dxa"/>
          </w:tblCellMar>
        </w:tblPrEx>
        <w:trPr>
          <w:cantSplit/>
          <w:trHeight w:val="3222" w:hRule="atLeast"/>
        </w:trPr>
        <w:tc>
          <w:tcPr>
            <w:tcW w:w="4875" w:type="dxa"/>
          </w:tcPr>
          <w:p>
            <w:pPr>
              <w:spacing w:before="120"/>
              <w:rPr>
                <w:szCs w:val="21"/>
              </w:rPr>
            </w:pPr>
            <w:r>
              <w:rPr>
                <w:rFonts w:hint="eastAsia"/>
                <w:szCs w:val="21"/>
              </w:rPr>
              <w:t>甲      方：（公章）</w:t>
            </w:r>
          </w:p>
          <w:p>
            <w:pPr>
              <w:spacing w:before="120"/>
              <w:rPr>
                <w:szCs w:val="21"/>
                <w:u w:val="single"/>
              </w:rPr>
            </w:pPr>
            <w:r>
              <w:rPr>
                <w:rFonts w:hint="eastAsia"/>
                <w:szCs w:val="21"/>
              </w:rPr>
              <w:t xml:space="preserve">法定代理人：           </w:t>
            </w:r>
          </w:p>
          <w:p>
            <w:pPr>
              <w:spacing w:before="120"/>
              <w:rPr>
                <w:szCs w:val="21"/>
              </w:rPr>
            </w:pPr>
            <w:r>
              <w:rPr>
                <w:rFonts w:hint="eastAsia"/>
                <w:szCs w:val="21"/>
              </w:rPr>
              <w:t>委托代理人：</w:t>
            </w:r>
          </w:p>
          <w:p>
            <w:pPr>
              <w:spacing w:before="120"/>
              <w:rPr>
                <w:szCs w:val="21"/>
              </w:rPr>
            </w:pPr>
            <w:r>
              <w:rPr>
                <w:rFonts w:hint="eastAsia"/>
                <w:szCs w:val="21"/>
              </w:rPr>
              <w:t>电      话：</w:t>
            </w:r>
          </w:p>
          <w:p>
            <w:pPr>
              <w:spacing w:before="120"/>
              <w:rPr>
                <w:szCs w:val="21"/>
              </w:rPr>
            </w:pPr>
            <w:r>
              <w:rPr>
                <w:rFonts w:hint="eastAsia"/>
                <w:szCs w:val="21"/>
              </w:rPr>
              <w:t>传      真：</w:t>
            </w:r>
          </w:p>
        </w:tc>
        <w:tc>
          <w:tcPr>
            <w:tcW w:w="4077" w:type="dxa"/>
          </w:tcPr>
          <w:p>
            <w:pPr>
              <w:spacing w:before="120"/>
              <w:rPr>
                <w:szCs w:val="21"/>
              </w:rPr>
            </w:pPr>
            <w:r>
              <w:rPr>
                <w:rFonts w:hint="eastAsia"/>
                <w:szCs w:val="21"/>
              </w:rPr>
              <w:t>乙      方：（公章）</w:t>
            </w:r>
          </w:p>
          <w:p>
            <w:pPr>
              <w:spacing w:before="120"/>
              <w:rPr>
                <w:szCs w:val="21"/>
              </w:rPr>
            </w:pPr>
            <w:r>
              <w:rPr>
                <w:rFonts w:hint="eastAsia"/>
                <w:szCs w:val="21"/>
              </w:rPr>
              <w:t>法定代理人：</w:t>
            </w:r>
          </w:p>
          <w:p>
            <w:pPr>
              <w:spacing w:before="120"/>
              <w:rPr>
                <w:szCs w:val="21"/>
              </w:rPr>
            </w:pPr>
            <w:r>
              <w:rPr>
                <w:rFonts w:hint="eastAsia"/>
                <w:szCs w:val="21"/>
              </w:rPr>
              <w:t>委托代理人：</w:t>
            </w:r>
          </w:p>
          <w:p>
            <w:pPr>
              <w:spacing w:before="120"/>
              <w:rPr>
                <w:szCs w:val="21"/>
              </w:rPr>
            </w:pPr>
            <w:r>
              <w:rPr>
                <w:rFonts w:hint="eastAsia"/>
                <w:szCs w:val="21"/>
              </w:rPr>
              <w:t>电      话：</w:t>
            </w:r>
          </w:p>
          <w:p>
            <w:pPr>
              <w:spacing w:before="120"/>
              <w:rPr>
                <w:szCs w:val="21"/>
              </w:rPr>
            </w:pPr>
            <w:r>
              <w:rPr>
                <w:rFonts w:hint="eastAsia"/>
                <w:szCs w:val="21"/>
              </w:rPr>
              <w:t>传      真：</w:t>
            </w:r>
          </w:p>
          <w:p>
            <w:pPr>
              <w:spacing w:before="120"/>
              <w:jc w:val="left"/>
              <w:rPr>
                <w:szCs w:val="21"/>
              </w:rPr>
            </w:pPr>
            <w:r>
              <w:rPr>
                <w:rFonts w:hint="eastAsia"/>
                <w:szCs w:val="21"/>
              </w:rPr>
              <w:t>开 户 银 行：</w:t>
            </w:r>
          </w:p>
          <w:p>
            <w:pPr>
              <w:spacing w:before="120"/>
              <w:jc w:val="left"/>
              <w:rPr>
                <w:szCs w:val="21"/>
              </w:rPr>
            </w:pPr>
            <w:r>
              <w:rPr>
                <w:rFonts w:hint="eastAsia"/>
                <w:szCs w:val="21"/>
              </w:rPr>
              <w:t>账       号：</w:t>
            </w:r>
          </w:p>
        </w:tc>
      </w:tr>
      <w:tr>
        <w:tblPrEx>
          <w:tblLayout w:type="fixed"/>
          <w:tblCellMar>
            <w:top w:w="0" w:type="dxa"/>
            <w:left w:w="108" w:type="dxa"/>
            <w:bottom w:w="0" w:type="dxa"/>
            <w:right w:w="108" w:type="dxa"/>
          </w:tblCellMar>
        </w:tblPrEx>
        <w:trPr>
          <w:cantSplit/>
          <w:trHeight w:val="2209" w:hRule="atLeast"/>
        </w:trPr>
        <w:tc>
          <w:tcPr>
            <w:tcW w:w="4875" w:type="dxa"/>
          </w:tcPr>
          <w:p>
            <w:pPr>
              <w:spacing w:before="120"/>
              <w:rPr>
                <w:szCs w:val="21"/>
              </w:rPr>
            </w:pPr>
            <w:r>
              <w:rPr>
                <w:rFonts w:hint="eastAsia"/>
                <w:szCs w:val="21"/>
              </w:rPr>
              <w:t>采购代理机构（盖章）：</w:t>
            </w:r>
          </w:p>
          <w:p>
            <w:pPr>
              <w:spacing w:before="120"/>
              <w:rPr>
                <w:szCs w:val="21"/>
              </w:rPr>
            </w:pPr>
            <w:r>
              <w:rPr>
                <w:rFonts w:hint="eastAsia"/>
                <w:szCs w:val="21"/>
              </w:rPr>
              <w:t>经 办 人：</w:t>
            </w:r>
          </w:p>
          <w:p>
            <w:pPr>
              <w:spacing w:before="120"/>
              <w:rPr>
                <w:szCs w:val="21"/>
              </w:rPr>
            </w:pPr>
            <w:r>
              <w:rPr>
                <w:rFonts w:hint="eastAsia"/>
                <w:szCs w:val="21"/>
              </w:rPr>
              <w:t>地    址：</w:t>
            </w:r>
          </w:p>
          <w:p>
            <w:pPr>
              <w:spacing w:before="120"/>
              <w:rPr>
                <w:szCs w:val="21"/>
              </w:rPr>
            </w:pPr>
            <w:r>
              <w:rPr>
                <w:rFonts w:hint="eastAsia"/>
                <w:szCs w:val="21"/>
              </w:rPr>
              <w:t>联系电话：</w:t>
            </w:r>
          </w:p>
        </w:tc>
        <w:tc>
          <w:tcPr>
            <w:tcW w:w="4077" w:type="dxa"/>
          </w:tcPr>
          <w:p>
            <w:pPr>
              <w:spacing w:before="120"/>
              <w:rPr>
                <w:szCs w:val="21"/>
              </w:rPr>
            </w:pPr>
            <w:r>
              <w:rPr>
                <w:rFonts w:hint="eastAsia"/>
                <w:szCs w:val="21"/>
              </w:rPr>
              <w:t>政府采购管理部门（盖章）：</w:t>
            </w:r>
          </w:p>
          <w:p>
            <w:pPr>
              <w:spacing w:before="120"/>
              <w:rPr>
                <w:szCs w:val="21"/>
              </w:rPr>
            </w:pPr>
          </w:p>
          <w:p>
            <w:pPr>
              <w:spacing w:before="120"/>
              <w:rPr>
                <w:szCs w:val="21"/>
              </w:rPr>
            </w:pPr>
            <w:r>
              <w:rPr>
                <w:rFonts w:hint="eastAsia"/>
                <w:szCs w:val="21"/>
              </w:rPr>
              <w:t>备案经办人（签字）：</w:t>
            </w:r>
          </w:p>
          <w:p>
            <w:pPr>
              <w:spacing w:before="120"/>
              <w:rPr>
                <w:szCs w:val="21"/>
              </w:rPr>
            </w:pPr>
            <w:r>
              <w:rPr>
                <w:rFonts w:hint="eastAsia"/>
                <w:szCs w:val="21"/>
              </w:rPr>
              <w:t>联系电话：</w:t>
            </w:r>
          </w:p>
          <w:p>
            <w:pPr>
              <w:spacing w:before="120"/>
              <w:rPr>
                <w:szCs w:val="21"/>
              </w:rPr>
            </w:pPr>
            <w:r>
              <w:rPr>
                <w:rFonts w:hint="eastAsia"/>
                <w:szCs w:val="21"/>
              </w:rPr>
              <w:t>备案时间：</w:t>
            </w:r>
          </w:p>
        </w:tc>
      </w:tr>
    </w:tbl>
    <w:p>
      <w:pPr>
        <w:spacing w:before="120"/>
        <w:rPr>
          <w:szCs w:val="21"/>
        </w:rPr>
      </w:pPr>
      <w:bookmarkStart w:id="187" w:name="_Toc418504653"/>
      <w:r>
        <w:rPr>
          <w:rFonts w:hint="eastAsia"/>
          <w:b/>
          <w:szCs w:val="21"/>
        </w:rPr>
        <w:t>本合同内容未超过政府采购申报审批表规定。</w:t>
      </w:r>
    </w:p>
    <w:p>
      <w:pPr>
        <w:pStyle w:val="22"/>
        <w:adjustRightInd w:val="0"/>
        <w:snapToGrid w:val="0"/>
        <w:spacing w:beforeLines="50" w:line="360" w:lineRule="auto"/>
        <w:jc w:val="center"/>
        <w:outlineLvl w:val="1"/>
        <w:rPr>
          <w:rFonts w:ascii="黑体" w:hAnsi="华文中宋" w:eastAsia="黑体"/>
          <w:b/>
          <w:sz w:val="32"/>
          <w:szCs w:val="32"/>
        </w:rPr>
      </w:pPr>
      <w:bookmarkStart w:id="188" w:name="_Toc9527_WPSOffice_Level1"/>
      <w:bookmarkStart w:id="189" w:name="_Toc536603245"/>
      <w:r>
        <w:rPr>
          <w:rFonts w:hint="eastAsia" w:ascii="黑体" w:hAnsi="华文中宋" w:eastAsia="黑体"/>
          <w:b/>
          <w:sz w:val="32"/>
          <w:szCs w:val="32"/>
        </w:rPr>
        <w:t>第五章 投标文件的组成</w:t>
      </w:r>
      <w:bookmarkEnd w:id="187"/>
      <w:bookmarkEnd w:id="188"/>
      <w:bookmarkEnd w:id="189"/>
    </w:p>
    <w:p/>
    <w:p>
      <w:pPr>
        <w:adjustRightInd w:val="0"/>
        <w:snapToGrid w:val="0"/>
        <w:spacing w:beforeLines="50" w:line="360" w:lineRule="auto"/>
        <w:rPr>
          <w:rFonts w:ascii="宋体" w:hAnsi="宋体"/>
          <w:b/>
          <w:szCs w:val="21"/>
        </w:rPr>
      </w:pPr>
      <w:bookmarkStart w:id="190" w:name="_Toc20974_WPSOffice_Level2"/>
      <w:r>
        <w:rPr>
          <w:rFonts w:hint="eastAsia" w:ascii="宋体" w:hAnsi="宋体"/>
          <w:b/>
          <w:szCs w:val="21"/>
        </w:rPr>
        <w:t>一、商务文件</w:t>
      </w:r>
      <w:bookmarkEnd w:id="190"/>
    </w:p>
    <w:p>
      <w:pPr>
        <w:adjustRightInd w:val="0"/>
        <w:snapToGrid w:val="0"/>
        <w:spacing w:beforeLines="50" w:line="360" w:lineRule="auto"/>
        <w:ind w:firstLine="420" w:firstLineChars="200"/>
        <w:jc w:val="left"/>
        <w:rPr>
          <w:rFonts w:ascii="宋体" w:hAnsi="宋体"/>
          <w:szCs w:val="21"/>
        </w:rPr>
      </w:pPr>
      <w:bookmarkStart w:id="191" w:name="_Toc5972_WPSOffice_Level3"/>
      <w:bookmarkStart w:id="192" w:name="_Toc418504654"/>
      <w:r>
        <w:rPr>
          <w:rFonts w:hint="eastAsia" w:ascii="宋体" w:hAnsi="宋体"/>
          <w:szCs w:val="21"/>
        </w:rPr>
        <w:t>一、投标函</w:t>
      </w:r>
      <w:bookmarkEnd w:id="191"/>
      <w:bookmarkEnd w:id="192"/>
    </w:p>
    <w:p>
      <w:pPr>
        <w:adjustRightInd w:val="0"/>
        <w:snapToGrid w:val="0"/>
        <w:spacing w:beforeLines="50" w:line="360" w:lineRule="auto"/>
        <w:ind w:firstLine="420" w:firstLineChars="200"/>
        <w:jc w:val="left"/>
        <w:rPr>
          <w:rFonts w:ascii="宋体" w:hAnsi="宋体"/>
          <w:szCs w:val="21"/>
        </w:rPr>
      </w:pPr>
      <w:bookmarkStart w:id="193" w:name="_Toc418504655"/>
      <w:bookmarkStart w:id="194" w:name="_Toc17265_WPSOffice_Level3"/>
      <w:r>
        <w:rPr>
          <w:rFonts w:hint="eastAsia" w:ascii="宋体" w:hAnsi="宋体"/>
          <w:szCs w:val="21"/>
        </w:rPr>
        <w:t>二、开标一览表</w:t>
      </w:r>
      <w:bookmarkEnd w:id="193"/>
      <w:bookmarkEnd w:id="194"/>
    </w:p>
    <w:p>
      <w:pPr>
        <w:adjustRightInd w:val="0"/>
        <w:snapToGrid w:val="0"/>
        <w:spacing w:beforeLines="50" w:line="360" w:lineRule="auto"/>
        <w:ind w:firstLine="420" w:firstLineChars="200"/>
        <w:jc w:val="left"/>
        <w:rPr>
          <w:rFonts w:ascii="宋体" w:hAnsi="宋体"/>
          <w:szCs w:val="21"/>
        </w:rPr>
      </w:pPr>
      <w:bookmarkStart w:id="195" w:name="_Toc418504656"/>
      <w:bookmarkStart w:id="196" w:name="_Toc27996_WPSOffice_Level3"/>
      <w:r>
        <w:rPr>
          <w:rFonts w:hint="eastAsia" w:ascii="宋体" w:hAnsi="宋体"/>
          <w:szCs w:val="21"/>
        </w:rPr>
        <w:t>三、投标分项价格表</w:t>
      </w:r>
      <w:bookmarkEnd w:id="195"/>
      <w:bookmarkEnd w:id="196"/>
    </w:p>
    <w:p>
      <w:pPr>
        <w:adjustRightInd w:val="0"/>
        <w:snapToGrid w:val="0"/>
        <w:spacing w:beforeLines="50" w:line="360" w:lineRule="auto"/>
        <w:ind w:firstLine="420" w:firstLineChars="200"/>
        <w:jc w:val="left"/>
        <w:rPr>
          <w:rFonts w:ascii="宋体" w:hAnsi="宋体"/>
          <w:szCs w:val="21"/>
        </w:rPr>
      </w:pPr>
      <w:bookmarkStart w:id="197" w:name="_Toc15173_WPSOffice_Level3"/>
      <w:bookmarkStart w:id="198" w:name="_Toc418504657"/>
      <w:r>
        <w:rPr>
          <w:rFonts w:hint="eastAsia" w:ascii="宋体" w:hAnsi="宋体"/>
          <w:szCs w:val="21"/>
        </w:rPr>
        <w:t>四、商务条款响应/偏离表</w:t>
      </w:r>
      <w:bookmarkEnd w:id="197"/>
      <w:bookmarkEnd w:id="198"/>
    </w:p>
    <w:p>
      <w:pPr>
        <w:adjustRightInd w:val="0"/>
        <w:snapToGrid w:val="0"/>
        <w:spacing w:beforeLines="50" w:line="360" w:lineRule="auto"/>
        <w:ind w:firstLine="420" w:firstLineChars="200"/>
        <w:jc w:val="left"/>
        <w:rPr>
          <w:rFonts w:ascii="宋体" w:hAnsi="宋体"/>
          <w:szCs w:val="21"/>
        </w:rPr>
      </w:pPr>
      <w:bookmarkStart w:id="199" w:name="_Toc11075_WPSOffice_Level3"/>
      <w:r>
        <w:rPr>
          <w:rFonts w:hint="eastAsia" w:ascii="宋体" w:hAnsi="宋体"/>
          <w:szCs w:val="21"/>
        </w:rPr>
        <w:t>五、投标保证金</w:t>
      </w:r>
      <w:bookmarkEnd w:id="199"/>
    </w:p>
    <w:p>
      <w:pPr>
        <w:adjustRightInd w:val="0"/>
        <w:snapToGrid w:val="0"/>
        <w:spacing w:beforeLines="50" w:line="360" w:lineRule="auto"/>
        <w:ind w:firstLine="420" w:firstLineChars="200"/>
        <w:jc w:val="left"/>
        <w:rPr>
          <w:rFonts w:ascii="宋体" w:hAnsi="宋体"/>
          <w:szCs w:val="21"/>
        </w:rPr>
      </w:pPr>
      <w:bookmarkStart w:id="200" w:name="_Toc418504658"/>
      <w:bookmarkStart w:id="201" w:name="_Toc22540_WPSOffice_Level3"/>
      <w:r>
        <w:rPr>
          <w:rFonts w:hint="eastAsia" w:ascii="宋体" w:hAnsi="宋体"/>
          <w:szCs w:val="21"/>
        </w:rPr>
        <w:t>六、投标人具备投标资格的证明文件</w:t>
      </w:r>
      <w:bookmarkEnd w:id="200"/>
      <w:bookmarkEnd w:id="201"/>
    </w:p>
    <w:p>
      <w:pPr>
        <w:adjustRightInd w:val="0"/>
        <w:snapToGrid w:val="0"/>
        <w:spacing w:beforeLines="50" w:line="360" w:lineRule="auto"/>
        <w:ind w:firstLine="420" w:firstLineChars="200"/>
        <w:jc w:val="left"/>
        <w:rPr>
          <w:rFonts w:ascii="宋体" w:hAnsi="宋体"/>
          <w:szCs w:val="21"/>
        </w:rPr>
      </w:pPr>
      <w:bookmarkStart w:id="202" w:name="_Toc32152_WPSOffice_Level3"/>
      <w:r>
        <w:rPr>
          <w:rFonts w:hint="eastAsia" w:ascii="宋体" w:hAnsi="宋体"/>
          <w:szCs w:val="21"/>
        </w:rPr>
        <w:t>七、投标人认为需要加以说明的其它资料</w:t>
      </w:r>
      <w:bookmarkEnd w:id="202"/>
    </w:p>
    <w:p>
      <w:pPr>
        <w:adjustRightInd w:val="0"/>
        <w:snapToGrid w:val="0"/>
        <w:spacing w:beforeLines="50" w:line="360" w:lineRule="auto"/>
        <w:rPr>
          <w:rFonts w:ascii="宋体" w:hAnsi="宋体"/>
          <w:b/>
          <w:szCs w:val="21"/>
        </w:rPr>
      </w:pPr>
      <w:bookmarkStart w:id="203" w:name="_Toc25261_WPSOffice_Level2"/>
      <w:r>
        <w:rPr>
          <w:rFonts w:hint="eastAsia" w:ascii="宋体" w:hAnsi="宋体"/>
          <w:szCs w:val="21"/>
        </w:rPr>
        <w:t>二</w:t>
      </w:r>
      <w:r>
        <w:rPr>
          <w:rFonts w:hint="eastAsia" w:ascii="宋体" w:hAnsi="宋体"/>
          <w:b/>
          <w:szCs w:val="21"/>
        </w:rPr>
        <w:t>、技术文件</w:t>
      </w:r>
      <w:bookmarkEnd w:id="203"/>
    </w:p>
    <w:p>
      <w:pPr>
        <w:adjustRightInd w:val="0"/>
        <w:snapToGrid w:val="0"/>
        <w:spacing w:beforeLines="50" w:line="360" w:lineRule="auto"/>
        <w:ind w:left="420" w:firstLine="105" w:firstLineChars="50"/>
        <w:jc w:val="left"/>
        <w:rPr>
          <w:rFonts w:ascii="宋体" w:hAnsi="宋体" w:cs="宋体"/>
          <w:szCs w:val="21"/>
        </w:rPr>
      </w:pPr>
      <w:bookmarkStart w:id="204" w:name="_Toc32738_WPSOffice_Level3"/>
      <w:r>
        <w:rPr>
          <w:rFonts w:hint="eastAsia" w:ascii="宋体" w:hAnsi="宋体"/>
          <w:szCs w:val="21"/>
        </w:rPr>
        <w:t>八、货物说明一览表</w:t>
      </w:r>
    </w:p>
    <w:p>
      <w:pPr>
        <w:adjustRightInd w:val="0"/>
        <w:snapToGrid w:val="0"/>
        <w:spacing w:beforeLines="50" w:line="360" w:lineRule="auto"/>
        <w:ind w:firstLine="525" w:firstLineChars="250"/>
        <w:jc w:val="left"/>
        <w:rPr>
          <w:rFonts w:ascii="宋体" w:hAnsi="宋体" w:cs="宋体"/>
          <w:szCs w:val="21"/>
        </w:rPr>
      </w:pPr>
      <w:r>
        <w:rPr>
          <w:rFonts w:hint="eastAsia" w:ascii="宋体" w:hAnsi="宋体"/>
          <w:szCs w:val="21"/>
        </w:rPr>
        <w:t>九、技术规格、参数响应/偏离表</w:t>
      </w:r>
    </w:p>
    <w:p>
      <w:pPr>
        <w:adjustRightInd w:val="0"/>
        <w:snapToGrid w:val="0"/>
        <w:spacing w:beforeLines="50" w:line="360" w:lineRule="auto"/>
        <w:ind w:firstLine="525" w:firstLineChars="250"/>
        <w:jc w:val="left"/>
        <w:rPr>
          <w:rFonts w:ascii="宋体" w:hAnsi="宋体" w:cs="宋体"/>
          <w:szCs w:val="21"/>
        </w:rPr>
      </w:pPr>
      <w:r>
        <w:rPr>
          <w:rFonts w:hint="eastAsia" w:ascii="宋体" w:hAnsi="宋体"/>
          <w:szCs w:val="21"/>
        </w:rPr>
        <w:t>十、技术人员情况简介</w:t>
      </w:r>
    </w:p>
    <w:p>
      <w:pPr>
        <w:adjustRightInd w:val="0"/>
        <w:snapToGrid w:val="0"/>
        <w:spacing w:beforeLines="50" w:line="360" w:lineRule="auto"/>
        <w:ind w:firstLine="525" w:firstLineChars="250"/>
        <w:jc w:val="left"/>
        <w:rPr>
          <w:rFonts w:ascii="宋体" w:hAnsi="宋体" w:cs="宋体"/>
          <w:szCs w:val="21"/>
        </w:rPr>
      </w:pPr>
      <w:r>
        <w:rPr>
          <w:rFonts w:hint="eastAsia" w:ascii="宋体" w:hAnsi="宋体"/>
          <w:szCs w:val="21"/>
        </w:rPr>
        <w:t>十一、</w:t>
      </w:r>
      <w:r>
        <w:rPr>
          <w:rFonts w:hint="eastAsia" w:ascii="宋体" w:hAnsi="宋体" w:cs="宋体"/>
          <w:szCs w:val="21"/>
        </w:rPr>
        <w:t>售后服务承诺书</w:t>
      </w:r>
    </w:p>
    <w:p>
      <w:pPr>
        <w:adjustRightInd w:val="0"/>
        <w:snapToGrid w:val="0"/>
        <w:spacing w:beforeLines="50" w:line="360" w:lineRule="auto"/>
        <w:ind w:firstLine="525" w:firstLineChars="250"/>
        <w:jc w:val="left"/>
        <w:rPr>
          <w:rFonts w:ascii="宋体" w:hAnsi="宋体"/>
          <w:szCs w:val="21"/>
        </w:rPr>
      </w:pPr>
      <w:r>
        <w:rPr>
          <w:rFonts w:hint="eastAsia" w:ascii="宋体" w:hAnsi="宋体"/>
          <w:szCs w:val="21"/>
        </w:rPr>
        <w:t>十二、投标服务符合招标文件规定的证明文件</w:t>
      </w:r>
      <w:bookmarkEnd w:id="204"/>
    </w:p>
    <w:p>
      <w:pPr>
        <w:pStyle w:val="22"/>
        <w:spacing w:line="400" w:lineRule="atLeast"/>
        <w:jc w:val="center"/>
        <w:rPr>
          <w:rFonts w:hAnsi="宋体"/>
          <w:b/>
          <w:bCs/>
          <w:sz w:val="84"/>
          <w:szCs w:val="84"/>
        </w:rPr>
      </w:pPr>
      <w:bookmarkStart w:id="205" w:name="_Toc24727_WPSOffice_Level1"/>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bookmarkStart w:id="206" w:name="_Toc2814_WPSOffice_Level1"/>
      <w:bookmarkStart w:id="207" w:name="_Toc21610_WPSOffice_Level1"/>
      <w:r>
        <w:rPr>
          <w:rFonts w:hint="eastAsia" w:hAnsi="宋体"/>
          <w:b/>
          <w:bCs/>
          <w:sz w:val="84"/>
          <w:szCs w:val="84"/>
        </w:rPr>
        <w:t>政府采购</w:t>
      </w:r>
      <w:bookmarkEnd w:id="205"/>
      <w:bookmarkEnd w:id="206"/>
      <w:bookmarkEnd w:id="207"/>
    </w:p>
    <w:p>
      <w:pPr>
        <w:pStyle w:val="22"/>
        <w:spacing w:line="400" w:lineRule="atLeast"/>
        <w:jc w:val="center"/>
        <w:outlineLvl w:val="1"/>
        <w:rPr>
          <w:rFonts w:hAnsi="宋体"/>
          <w:b/>
          <w:bCs/>
          <w:sz w:val="84"/>
          <w:szCs w:val="84"/>
        </w:rPr>
      </w:pPr>
      <w:bookmarkStart w:id="208" w:name="_Toc19055_WPSOffice_Level1"/>
      <w:bookmarkStart w:id="209" w:name="_Toc28559_WPSOffice_Level1"/>
      <w:bookmarkStart w:id="210" w:name="_Toc32275_WPSOffice_Level1"/>
      <w:bookmarkStart w:id="211" w:name="_Toc536603246"/>
      <w:r>
        <w:rPr>
          <w:rFonts w:hint="eastAsia" w:hAnsi="宋体"/>
          <w:b/>
          <w:bCs/>
          <w:sz w:val="84"/>
          <w:szCs w:val="84"/>
        </w:rPr>
        <w:t>投 标 文 件</w:t>
      </w:r>
      <w:bookmarkEnd w:id="208"/>
      <w:bookmarkEnd w:id="209"/>
      <w:bookmarkEnd w:id="210"/>
      <w:bookmarkEnd w:id="211"/>
    </w:p>
    <w:p>
      <w:pPr>
        <w:pStyle w:val="3"/>
        <w:rPr>
          <w:rFonts w:ascii="宋体" w:hAnsi="宋体"/>
          <w:sz w:val="32"/>
        </w:rPr>
      </w:pPr>
      <w:bookmarkStart w:id="212" w:name="_Toc21122_WPSOffice_Level2"/>
    </w:p>
    <w:p>
      <w:pPr>
        <w:pStyle w:val="3"/>
        <w:jc w:val="center"/>
        <w:rPr>
          <w:rFonts w:ascii="宋体" w:hAnsi="宋体"/>
          <w:sz w:val="32"/>
        </w:rPr>
      </w:pPr>
      <w:bookmarkStart w:id="213" w:name="_Toc536603247"/>
      <w:bookmarkStart w:id="214" w:name="_Toc12504_WPSOffice_Level2"/>
      <w:bookmarkStart w:id="215" w:name="_Toc530044674"/>
      <w:bookmarkStart w:id="216" w:name="_Toc22100_WPSOffice_Level2"/>
      <w:bookmarkStart w:id="217" w:name="_Toc530045467"/>
      <w:r>
        <w:rPr>
          <w:rFonts w:hint="eastAsia" w:ascii="宋体" w:hAnsi="宋体"/>
          <w:sz w:val="32"/>
        </w:rPr>
        <w:t>(商务文件)</w:t>
      </w:r>
      <w:bookmarkEnd w:id="212"/>
      <w:bookmarkEnd w:id="213"/>
      <w:bookmarkEnd w:id="214"/>
      <w:bookmarkEnd w:id="215"/>
      <w:bookmarkEnd w:id="216"/>
      <w:bookmarkEnd w:id="217"/>
    </w:p>
    <w:p>
      <w:pPr>
        <w:rPr>
          <w:rFonts w:ascii="黑体" w:hAnsi="宋体" w:eastAsia="黑体"/>
          <w:sz w:val="32"/>
          <w:szCs w:val="32"/>
        </w:rPr>
      </w:pPr>
      <w:r>
        <w:rPr>
          <w:rFonts w:hint="eastAsia" w:ascii="黑体" w:hAnsi="宋体" w:eastAsia="黑体"/>
          <w:sz w:val="32"/>
          <w:szCs w:val="32"/>
        </w:rPr>
        <w:t xml:space="preserve">           </w:t>
      </w:r>
      <w:bookmarkStart w:id="218" w:name="_Toc30245_WPSOffice_Level3"/>
      <w:bookmarkStart w:id="219" w:name="_Toc31217_WPSOffice_Level3"/>
    </w:p>
    <w:p>
      <w:pPr>
        <w:rPr>
          <w:rFonts w:hAnsi="宋体"/>
          <w:b/>
          <w:bCs/>
          <w:sz w:val="30"/>
          <w:szCs w:val="30"/>
        </w:rPr>
      </w:pPr>
      <w:bookmarkStart w:id="220" w:name="_Toc12819_WPSOffice_Level3"/>
      <w:r>
        <w:rPr>
          <w:rFonts w:hint="eastAsia" w:hAnsi="宋体"/>
          <w:b/>
          <w:bCs/>
          <w:sz w:val="30"/>
          <w:szCs w:val="30"/>
        </w:rPr>
        <w:t>采购项目名称:</w:t>
      </w:r>
      <w:bookmarkEnd w:id="220"/>
      <w:r>
        <w:rPr>
          <w:rFonts w:hint="eastAsia" w:hAnsi="宋体"/>
          <w:b/>
          <w:bCs/>
          <w:sz w:val="30"/>
          <w:szCs w:val="30"/>
        </w:rPr>
        <w:t xml:space="preserve"> </w:t>
      </w:r>
      <w:bookmarkEnd w:id="218"/>
      <w:bookmarkEnd w:id="219"/>
    </w:p>
    <w:p>
      <w:pPr>
        <w:pStyle w:val="22"/>
        <w:spacing w:beforeLines="100" w:afterLines="100" w:line="360" w:lineRule="auto"/>
        <w:rPr>
          <w:rFonts w:hAnsi="宋体"/>
          <w:b/>
          <w:bCs/>
          <w:sz w:val="30"/>
          <w:szCs w:val="30"/>
        </w:rPr>
      </w:pPr>
      <w:bookmarkStart w:id="221" w:name="_Toc1185_WPSOffice_Level3"/>
      <w:r>
        <w:rPr>
          <w:rFonts w:hint="eastAsia" w:hAnsi="宋体"/>
          <w:b/>
          <w:bCs/>
          <w:sz w:val="30"/>
          <w:szCs w:val="30"/>
        </w:rPr>
        <w:t>政府采购编号:</w:t>
      </w:r>
      <w:bookmarkEnd w:id="221"/>
      <w:r>
        <w:rPr>
          <w:rFonts w:hint="eastAsia" w:hAnsi="宋体"/>
          <w:b/>
          <w:bCs/>
          <w:sz w:val="30"/>
          <w:szCs w:val="30"/>
        </w:rPr>
        <w:t xml:space="preserve"> </w:t>
      </w:r>
    </w:p>
    <w:p>
      <w:pPr>
        <w:pStyle w:val="22"/>
        <w:spacing w:beforeLines="100" w:afterLines="100" w:line="360" w:lineRule="auto"/>
        <w:jc w:val="left"/>
        <w:rPr>
          <w:rFonts w:hAnsi="宋体"/>
          <w:b/>
          <w:bCs/>
          <w:sz w:val="30"/>
          <w:szCs w:val="30"/>
          <w:u w:val="single"/>
        </w:rPr>
      </w:pPr>
      <w:bookmarkStart w:id="222" w:name="_Toc22984_WPSOffice_Level3"/>
      <w:r>
        <w:rPr>
          <w:rFonts w:hint="eastAsia" w:hAnsi="宋体"/>
          <w:b/>
          <w:bCs/>
          <w:sz w:val="30"/>
          <w:szCs w:val="30"/>
        </w:rPr>
        <w:t>委托代理编号:</w:t>
      </w:r>
      <w:bookmarkEnd w:id="222"/>
      <w:r>
        <w:rPr>
          <w:rFonts w:hint="eastAsia" w:hAnsi="宋体"/>
          <w:b/>
          <w:bCs/>
          <w:sz w:val="30"/>
          <w:szCs w:val="30"/>
        </w:rPr>
        <w:t xml:space="preserve"> </w:t>
      </w:r>
      <w:r>
        <w:rPr>
          <w:rFonts w:hint="eastAsia" w:hAnsi="宋体"/>
          <w:b/>
          <w:bCs/>
          <w:sz w:val="30"/>
          <w:szCs w:val="30"/>
        </w:rPr>
        <w:tab/>
      </w:r>
    </w:p>
    <w:p>
      <w:pPr>
        <w:pStyle w:val="22"/>
        <w:rPr>
          <w:rFonts w:hAnsi="宋体"/>
          <w:bCs/>
          <w:sz w:val="30"/>
          <w:szCs w:val="30"/>
        </w:rPr>
      </w:pPr>
      <w:bookmarkStart w:id="223" w:name="_Toc14667_WPSOffice_Level3"/>
      <w:r>
        <w:rPr>
          <w:rFonts w:hint="eastAsia" w:hAnsi="宋体"/>
          <w:b/>
          <w:bCs/>
          <w:sz w:val="30"/>
          <w:szCs w:val="30"/>
        </w:rPr>
        <w:t>采购代理机构:</w:t>
      </w:r>
      <w:bookmarkEnd w:id="223"/>
      <w:r>
        <w:rPr>
          <w:rFonts w:hint="eastAsia" w:hAnsi="宋体"/>
          <w:b/>
          <w:bCs/>
          <w:sz w:val="30"/>
          <w:szCs w:val="30"/>
        </w:rPr>
        <w:t xml:space="preserve"> </w:t>
      </w:r>
    </w:p>
    <w:p>
      <w:pPr>
        <w:adjustRightInd w:val="0"/>
        <w:snapToGrid w:val="0"/>
        <w:ind w:firstLine="1124" w:firstLineChars="350"/>
        <w:rPr>
          <w:rFonts w:ascii="宋体" w:hAnsi="宋体"/>
          <w:b/>
          <w:sz w:val="32"/>
        </w:rPr>
      </w:pPr>
    </w:p>
    <w:p>
      <w:pPr>
        <w:adjustRightInd w:val="0"/>
        <w:snapToGrid w:val="0"/>
        <w:ind w:firstLine="1124" w:firstLineChars="350"/>
        <w:rPr>
          <w:rFonts w:ascii="宋体" w:hAnsi="宋体"/>
          <w:b/>
          <w:sz w:val="32"/>
        </w:rPr>
      </w:pPr>
    </w:p>
    <w:p>
      <w:pPr>
        <w:pStyle w:val="22"/>
        <w:rPr>
          <w:rFonts w:hAnsi="宋体"/>
          <w:b/>
          <w:sz w:val="32"/>
          <w:szCs w:val="24"/>
        </w:rPr>
      </w:pPr>
    </w:p>
    <w:p>
      <w:pPr>
        <w:pStyle w:val="22"/>
        <w:rPr>
          <w:rFonts w:hAnsi="宋体"/>
          <w:b/>
          <w:sz w:val="32"/>
          <w:szCs w:val="24"/>
        </w:rPr>
      </w:pPr>
    </w:p>
    <w:p>
      <w:pPr>
        <w:pStyle w:val="22"/>
        <w:rPr>
          <w:rFonts w:hAnsi="宋体"/>
          <w:b/>
          <w:sz w:val="32"/>
        </w:rPr>
      </w:pPr>
      <w:r>
        <w:rPr>
          <w:rFonts w:hint="eastAsia" w:hAnsi="宋体"/>
          <w:b/>
          <w:sz w:val="32"/>
        </w:rPr>
        <w:t xml:space="preserve">投标人： </w:t>
      </w:r>
      <w:r>
        <w:rPr>
          <w:rFonts w:hint="eastAsia" w:hAnsi="宋体"/>
          <w:b/>
          <w:sz w:val="32"/>
          <w:u w:val="single"/>
        </w:rPr>
        <w:t xml:space="preserve"> </w:t>
      </w:r>
      <w:r>
        <w:rPr>
          <w:rFonts w:hint="eastAsia" w:hAnsi="宋体"/>
          <w:sz w:val="32"/>
        </w:rPr>
        <w:t xml:space="preserve"> </w:t>
      </w:r>
      <w:r>
        <w:rPr>
          <w:rFonts w:hint="eastAsia" w:hAnsi="宋体"/>
          <w:sz w:val="32"/>
          <w:u w:val="single"/>
        </w:rPr>
        <w:t xml:space="preserve"> </w:t>
      </w:r>
      <w:r>
        <w:rPr>
          <w:rFonts w:hint="eastAsia" w:hAnsi="宋体"/>
          <w:b/>
          <w:sz w:val="32"/>
          <w:u w:val="single"/>
        </w:rPr>
        <w:t xml:space="preserve">                      </w:t>
      </w:r>
      <w:r>
        <w:rPr>
          <w:rFonts w:hint="eastAsia" w:hAnsi="宋体"/>
          <w:b/>
          <w:sz w:val="32"/>
        </w:rPr>
        <w:t xml:space="preserve"> </w:t>
      </w:r>
    </w:p>
    <w:p>
      <w:pPr>
        <w:pStyle w:val="22"/>
        <w:rPr>
          <w:rFonts w:hAnsi="宋体"/>
          <w:b/>
          <w:spacing w:val="160"/>
          <w:sz w:val="28"/>
          <w:szCs w:val="28"/>
        </w:rPr>
      </w:pPr>
    </w:p>
    <w:p>
      <w:pPr>
        <w:jc w:val="center"/>
        <w:rPr>
          <w:rFonts w:ascii="宋体" w:hAnsi="宋体"/>
          <w:b/>
          <w:sz w:val="32"/>
          <w:szCs w:val="32"/>
        </w:rPr>
      </w:pPr>
      <w:r>
        <w:rPr>
          <w:rFonts w:hint="eastAsia" w:ascii="宋体" w:hAnsi="宋体"/>
          <w:b/>
          <w:sz w:val="32"/>
          <w:szCs w:val="32"/>
        </w:rPr>
        <w:t>年  月  日</w:t>
      </w:r>
      <w:bookmarkStart w:id="224" w:name="_Toc418504660"/>
    </w:p>
    <w:p>
      <w:pPr>
        <w:pStyle w:val="4"/>
        <w:rPr>
          <w:rFonts w:ascii="黑体" w:hAnsi="宋体" w:eastAsia="黑体"/>
          <w:sz w:val="28"/>
          <w:szCs w:val="28"/>
        </w:rPr>
      </w:pPr>
      <w:bookmarkStart w:id="225" w:name="_Toc536603248"/>
      <w:r>
        <w:rPr>
          <w:rFonts w:hint="eastAsia" w:ascii="黑体" w:hAnsi="宋体" w:eastAsia="黑体"/>
          <w:sz w:val="28"/>
          <w:szCs w:val="28"/>
        </w:rPr>
        <w:t>一、投标函</w:t>
      </w:r>
      <w:bookmarkEnd w:id="224"/>
      <w:bookmarkEnd w:id="225"/>
    </w:p>
    <w:p>
      <w:pPr>
        <w:rPr>
          <w:rFonts w:ascii="黑体" w:hAnsi="宋体" w:eastAsia="黑体"/>
          <w:b/>
          <w:szCs w:val="21"/>
        </w:rPr>
      </w:pPr>
      <w:r>
        <w:rPr>
          <w:rFonts w:ascii="黑体" w:hAnsi="宋体" w:eastAsia="黑体"/>
          <w:b/>
          <w:sz w:val="32"/>
          <w:szCs w:val="32"/>
        </w:rPr>
        <w:tab/>
      </w:r>
    </w:p>
    <w:p>
      <w:pPr>
        <w:adjustRightInd w:val="0"/>
        <w:snapToGrid w:val="0"/>
        <w:spacing w:beforeLines="50" w:line="360" w:lineRule="auto"/>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(采购代理机构)：</w:t>
      </w:r>
    </w:p>
    <w:p>
      <w:pPr>
        <w:adjustRightInd w:val="0"/>
        <w:snapToGrid w:val="0"/>
        <w:spacing w:beforeLines="50" w:line="360" w:lineRule="auto"/>
        <w:ind w:firstLine="435"/>
        <w:rPr>
          <w:rFonts w:ascii="宋体" w:hAnsi="宋体"/>
          <w:szCs w:val="21"/>
          <w:u w:val="single"/>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（项目名称）的投标邀请（政府采购编号：</w:t>
      </w:r>
      <w:r>
        <w:rPr>
          <w:rFonts w:hint="eastAsia" w:ascii="宋体" w:hAnsi="宋体"/>
          <w:szCs w:val="21"/>
          <w:u w:val="single"/>
        </w:rPr>
        <w:t xml:space="preserve">         </w:t>
      </w:r>
      <w:r>
        <w:rPr>
          <w:rFonts w:hint="eastAsia" w:ascii="宋体" w:hAnsi="宋体"/>
          <w:szCs w:val="21"/>
        </w:rPr>
        <w:t>，委托代理编号：</w:t>
      </w:r>
      <w:r>
        <w:rPr>
          <w:rFonts w:hint="eastAsia" w:ascii="宋体" w:hAnsi="宋体"/>
          <w:szCs w:val="21"/>
          <w:u w:val="single"/>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（投标人名称、地址）提交下述文件正本一份、副本</w:t>
      </w:r>
      <w:r>
        <w:rPr>
          <w:rFonts w:hint="eastAsia" w:ascii="宋体" w:hAnsi="宋体"/>
          <w:szCs w:val="21"/>
          <w:u w:val="single"/>
        </w:rPr>
        <w:t xml:space="preserve">     </w:t>
      </w:r>
      <w:r>
        <w:rPr>
          <w:rFonts w:hint="eastAsia" w:ascii="宋体" w:hAnsi="宋体"/>
          <w:szCs w:val="21"/>
        </w:rPr>
        <w:t>份及电子文件一份并在此声明，所递交的投标文件内容完整、真实。</w:t>
      </w:r>
    </w:p>
    <w:p>
      <w:pPr>
        <w:adjustRightInd w:val="0"/>
        <w:snapToGrid w:val="0"/>
        <w:spacing w:beforeLines="50" w:line="360" w:lineRule="auto"/>
        <w:jc w:val="left"/>
        <w:rPr>
          <w:rFonts w:ascii="宋体" w:hAnsi="宋体"/>
          <w:szCs w:val="21"/>
        </w:rPr>
      </w:pPr>
      <w:r>
        <w:rPr>
          <w:rFonts w:hint="eastAsia" w:ascii="宋体" w:hAnsi="宋体"/>
          <w:szCs w:val="21"/>
        </w:rPr>
        <w:t xml:space="preserve">    1、商务文件：投标函、开标一览表、投标分项价格表、商务条款响应/偏离表、投标保证金、投标人具备投标资格的证明文件、投标人认为需提供的其它商务资料；</w:t>
      </w:r>
    </w:p>
    <w:p>
      <w:pPr>
        <w:adjustRightInd w:val="0"/>
        <w:snapToGrid w:val="0"/>
        <w:spacing w:beforeLines="50" w:line="360" w:lineRule="auto"/>
        <w:jc w:val="left"/>
        <w:rPr>
          <w:rFonts w:ascii="宋体" w:hAnsi="宋体"/>
          <w:szCs w:val="21"/>
        </w:rPr>
      </w:pPr>
      <w:r>
        <w:rPr>
          <w:rFonts w:hint="eastAsia" w:ascii="宋体" w:hAnsi="宋体"/>
          <w:szCs w:val="21"/>
        </w:rPr>
        <w:t>2、技术文件：服务说明一览表、服务内容及要求响应/偏离表、监理人员情况一览表、</w:t>
      </w:r>
      <w:r>
        <w:rPr>
          <w:rFonts w:hint="eastAsia" w:ascii="宋体" w:hAnsi="宋体" w:cs="宋体"/>
          <w:szCs w:val="21"/>
        </w:rPr>
        <w:t>总监理工程师个人简历、监理大纲、服务承诺书、项目类似业绩、监理检测设施、设备、用品配置表、</w:t>
      </w:r>
      <w:r>
        <w:rPr>
          <w:rFonts w:hint="eastAsia" w:ascii="宋体" w:hAnsi="宋体"/>
          <w:szCs w:val="21"/>
        </w:rPr>
        <w:t>投标服务符合招标文件规定的证明文件。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在此，签字代表宣布同意如下：</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1、所附投标价格表中规定的应提交和交付的货物和服务投标总价为：</w:t>
      </w:r>
      <w:r>
        <w:rPr>
          <w:rFonts w:hint="eastAsia" w:ascii="宋体" w:hAnsi="宋体"/>
          <w:szCs w:val="21"/>
          <w:u w:val="single"/>
        </w:rPr>
        <w:t xml:space="preserve">          </w:t>
      </w:r>
      <w:r>
        <w:rPr>
          <w:rFonts w:hint="eastAsia" w:ascii="宋体" w:hAnsi="宋体"/>
          <w:szCs w:val="21"/>
        </w:rPr>
        <w:t>(人民币大写)。</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2、投标人将按招标文件的规定履行合同责任和义务。</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3、投标人已详细审查全部招标文件。我们完全理解并同意放弃对这方面有不明及误解的权力。</w:t>
      </w:r>
    </w:p>
    <w:p>
      <w:pPr>
        <w:adjustRightInd w:val="0"/>
        <w:snapToGrid w:val="0"/>
        <w:spacing w:beforeLines="50" w:line="360" w:lineRule="auto"/>
        <w:ind w:firstLine="420" w:firstLineChars="200"/>
        <w:rPr>
          <w:rFonts w:ascii="宋体" w:hAnsi="宋体"/>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w:t>
      </w:r>
      <w:r>
        <w:rPr>
          <w:rFonts w:hint="eastAsia" w:ascii="宋体" w:hAnsi="宋体"/>
          <w:szCs w:val="21"/>
        </w:rPr>
        <w:t>个日历日。在投标有效期内</w:t>
      </w:r>
      <w:r>
        <w:rPr>
          <w:rFonts w:hint="eastAsia" w:ascii="宋体" w:hAnsi="宋体"/>
        </w:rPr>
        <w:t>我方同意遵守本</w:t>
      </w:r>
      <w:r>
        <w:rPr>
          <w:rFonts w:hint="eastAsia" w:ascii="宋体" w:hAnsi="宋体"/>
          <w:szCs w:val="21"/>
        </w:rPr>
        <w:t>投标</w:t>
      </w:r>
      <w:r>
        <w:rPr>
          <w:rFonts w:hint="eastAsia" w:ascii="宋体" w:hAnsi="宋体"/>
        </w:rPr>
        <w:t>文件中的承诺且在此期限期满之前</w:t>
      </w:r>
      <w:r>
        <w:rPr>
          <w:rFonts w:hint="eastAsia" w:ascii="宋体" w:hAnsi="宋体"/>
          <w:szCs w:val="21"/>
        </w:rPr>
        <w:t>投标</w:t>
      </w:r>
      <w:r>
        <w:rPr>
          <w:rFonts w:hint="eastAsia" w:ascii="宋体" w:hAnsi="宋体"/>
        </w:rPr>
        <w:t>文件</w:t>
      </w:r>
      <w:r>
        <w:rPr>
          <w:rFonts w:hint="eastAsia" w:ascii="宋体" w:hAnsi="宋体"/>
          <w:szCs w:val="21"/>
        </w:rPr>
        <w:t>对我方具有法律约束力</w:t>
      </w:r>
      <w:r>
        <w:rPr>
          <w:rFonts w:hint="eastAsia" w:ascii="宋体" w:hAnsi="宋体"/>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5、根据第一章“投标须知”第3条规定，我方承诺：</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 我们在参加本项目政府采购活动前三年内，在经营活动中没有违背法律的行为，并提供“参加政府采购活动前三年内在经营活动中没有重大违法记录的书面声明”；</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 我们依照有关法律的规定，没有偷税、漏税的行为，没有逃避缴纳社会保险资金的行为；</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 与采购人和采购代理机构</w:t>
      </w:r>
      <w:r>
        <w:rPr>
          <w:rFonts w:hint="eastAsia" w:ascii="宋体" w:hAnsi="宋体"/>
          <w:bCs/>
          <w:szCs w:val="21"/>
        </w:rPr>
        <w:t>无任何的隶属关系或者其他利害关系</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 xml:space="preserve">6、同意提供贵方可能要求的与其投标有关的一切数据或资料。 </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7、废标后，在收到贵方的通知后，我方本投标函及所有投标文件中声明、授权、承诺、盖章签字等，对于贵方采用竞争性谈判采购仍然有效。我方遵守贵方招标文件关于特殊情形采用竞争性谈判采购的有关规定，并无异议。</w:t>
      </w:r>
    </w:p>
    <w:p>
      <w:pPr>
        <w:adjustRightInd w:val="0"/>
        <w:snapToGrid w:val="0"/>
        <w:spacing w:beforeLines="50" w:line="360" w:lineRule="auto"/>
        <w:rPr>
          <w:rFonts w:ascii="宋体" w:hAnsi="宋体"/>
          <w:szCs w:val="21"/>
        </w:rPr>
      </w:pPr>
    </w:p>
    <w:p>
      <w:pPr>
        <w:adjustRightInd w:val="0"/>
        <w:snapToGrid w:val="0"/>
        <w:spacing w:beforeLines="50" w:line="360" w:lineRule="auto"/>
        <w:ind w:firstLine="420" w:firstLineChars="200"/>
        <w:rPr>
          <w:rFonts w:ascii="宋体" w:hAnsi="宋体"/>
          <w:szCs w:val="21"/>
        </w:rPr>
      </w:pPr>
      <w:r>
        <w:rPr>
          <w:rFonts w:hint="eastAsia" w:ascii="宋体" w:hAnsi="宋体"/>
          <w:szCs w:val="21"/>
        </w:rPr>
        <w:t>8：与本投标有关的一切正式往来信函请寄：</w:t>
      </w:r>
    </w:p>
    <w:p>
      <w:pPr>
        <w:adjustRightInd w:val="0"/>
        <w:snapToGrid w:val="0"/>
        <w:spacing w:beforeLines="50" w:line="360" w:lineRule="auto"/>
        <w:rPr>
          <w:rFonts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 xml:space="preserve"> 邮编：</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beforeLines="50" w:line="360" w:lineRule="auto"/>
        <w:rPr>
          <w:rFonts w:ascii="宋体" w:hAnsi="宋体"/>
          <w:szCs w:val="21"/>
        </w:rPr>
      </w:pPr>
      <w:r>
        <w:rPr>
          <w:rFonts w:hint="eastAsia" w:ascii="宋体" w:hAnsi="宋体"/>
          <w:szCs w:val="21"/>
        </w:rPr>
        <w:t>电话：</w:t>
      </w:r>
      <w:r>
        <w:rPr>
          <w:rFonts w:hint="eastAsia" w:ascii="宋体" w:hAnsi="宋体"/>
          <w:szCs w:val="21"/>
          <w:u w:val="single"/>
        </w:rPr>
        <w:t xml:space="preserve">             </w:t>
      </w:r>
      <w:r>
        <w:rPr>
          <w:rFonts w:hint="eastAsia" w:ascii="宋体" w:hAnsi="宋体"/>
          <w:szCs w:val="21"/>
        </w:rPr>
        <w:t xml:space="preserve"> 传真：</w:t>
      </w:r>
      <w:r>
        <w:rPr>
          <w:rFonts w:hint="eastAsia" w:ascii="宋体" w:hAnsi="宋体"/>
          <w:szCs w:val="21"/>
          <w:u w:val="single"/>
        </w:rPr>
        <w:t xml:space="preserve">        </w:t>
      </w:r>
      <w:r>
        <w:rPr>
          <w:rFonts w:hint="eastAsia" w:ascii="宋体" w:hAnsi="宋体"/>
          <w:szCs w:val="21"/>
        </w:rPr>
        <w:t xml:space="preserve"> </w:t>
      </w:r>
    </w:p>
    <w:p>
      <w:pPr>
        <w:pStyle w:val="22"/>
        <w:adjustRightInd w:val="0"/>
        <w:snapToGrid w:val="0"/>
        <w:spacing w:beforeLines="50" w:line="360" w:lineRule="auto"/>
        <w:rPr>
          <w:rFonts w:hAnsi="宋体"/>
        </w:rPr>
      </w:pPr>
    </w:p>
    <w:p>
      <w:pPr>
        <w:pStyle w:val="22"/>
        <w:adjustRightInd w:val="0"/>
        <w:snapToGrid w:val="0"/>
        <w:spacing w:beforeLines="50" w:line="360" w:lineRule="auto"/>
        <w:rPr>
          <w:rFonts w:hAnsi="宋体"/>
        </w:rPr>
      </w:pPr>
    </w:p>
    <w:p>
      <w:pPr>
        <w:pStyle w:val="22"/>
        <w:adjustRightInd w:val="0"/>
        <w:snapToGrid w:val="0"/>
        <w:spacing w:beforeLines="50" w:line="360" w:lineRule="auto"/>
        <w:rPr>
          <w:rFonts w:hAnsi="宋体"/>
        </w:rPr>
      </w:pPr>
    </w:p>
    <w:p>
      <w:pPr>
        <w:pStyle w:val="22"/>
        <w:adjustRightInd w:val="0"/>
        <w:snapToGrid w:val="0"/>
        <w:spacing w:beforeLines="50" w:line="360" w:lineRule="auto"/>
        <w:rPr>
          <w:rFonts w:hAnsi="宋体"/>
        </w:rPr>
      </w:pPr>
      <w:r>
        <w:rPr>
          <w:rFonts w:hint="eastAsia" w:hAnsi="宋体"/>
        </w:rPr>
        <w:t>投标人名称(盖章)：</w:t>
      </w:r>
    </w:p>
    <w:p>
      <w:pPr>
        <w:adjustRightInd w:val="0"/>
        <w:snapToGrid w:val="0"/>
        <w:spacing w:beforeLines="50" w:line="360" w:lineRule="auto"/>
        <w:rPr>
          <w:rFonts w:ascii="宋体" w:hAnsi="宋体"/>
          <w:szCs w:val="21"/>
          <w:u w:val="single"/>
        </w:rPr>
      </w:pPr>
      <w:r>
        <w:rPr>
          <w:rFonts w:hint="eastAsia" w:ascii="宋体" w:hAnsi="宋体"/>
          <w:szCs w:val="21"/>
        </w:rPr>
        <w:t>法定代表人或其授权的代理人(签字)：</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beforeLines="50" w:line="360" w:lineRule="auto"/>
        <w:ind w:left="-88" w:leftChars="-42"/>
        <w:rPr>
          <w:rFonts w:ascii="宋体" w:hAnsi="宋体"/>
          <w:sz w:val="24"/>
        </w:rPr>
      </w:pPr>
    </w:p>
    <w:p>
      <w:pPr>
        <w:adjustRightInd w:val="0"/>
        <w:snapToGrid w:val="0"/>
        <w:spacing w:beforeLines="50" w:line="360" w:lineRule="auto"/>
        <w:ind w:left="-88" w:leftChars="-42"/>
        <w:rPr>
          <w:rFonts w:ascii="宋体" w:hAnsi="宋体"/>
          <w:sz w:val="24"/>
        </w:rPr>
      </w:pPr>
    </w:p>
    <w:p>
      <w:pPr>
        <w:adjustRightInd w:val="0"/>
        <w:snapToGrid w:val="0"/>
        <w:spacing w:beforeLines="50" w:line="360" w:lineRule="auto"/>
        <w:ind w:left="-88" w:leftChars="-42"/>
        <w:rPr>
          <w:rFonts w:ascii="宋体" w:hAnsi="宋体"/>
          <w:sz w:val="24"/>
        </w:rPr>
      </w:pPr>
    </w:p>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adjustRightInd w:val="0"/>
        <w:snapToGrid w:val="0"/>
        <w:spacing w:beforeLines="50" w:line="360" w:lineRule="auto"/>
        <w:ind w:left="-88" w:leftChars="-42"/>
        <w:rPr>
          <w:rFonts w:ascii="仿宋_GB2312" w:hAnsi="宋体" w:eastAsia="仿宋_GB2312"/>
          <w:szCs w:val="21"/>
        </w:rPr>
      </w:pPr>
      <w:r>
        <w:rPr>
          <w:rFonts w:hint="eastAsia" w:ascii="仿宋_GB2312" w:hAnsi="宋体" w:eastAsia="仿宋_GB2312"/>
          <w:b/>
          <w:szCs w:val="21"/>
        </w:rPr>
        <w:t>备注</w:t>
      </w:r>
      <w:r>
        <w:rPr>
          <w:rFonts w:hint="eastAsia" w:ascii="仿宋_GB2312" w:hAnsi="宋体" w:eastAsia="仿宋_GB2312"/>
          <w:szCs w:val="21"/>
        </w:rPr>
        <w:t>：1、除可填报项目外，对本投标函的任何修改将被视为非实质性响应投标，在评标时将其视为无效投标。</w:t>
      </w:r>
    </w:p>
    <w:p>
      <w:pPr>
        <w:widowControl/>
        <w:ind w:left="-88" w:leftChars="-42" w:firstLine="630" w:firstLineChars="300"/>
        <w:jc w:val="left"/>
        <w:rPr>
          <w:rFonts w:ascii="仿宋_GB2312" w:eastAsia="仿宋_GB2312"/>
          <w:szCs w:val="21"/>
        </w:rPr>
      </w:pPr>
      <w:r>
        <w:rPr>
          <w:rFonts w:hint="eastAsia" w:ascii="仿宋_GB2312" w:hAnsi="宋体" w:eastAsia="仿宋_GB2312"/>
          <w:szCs w:val="21"/>
        </w:rPr>
        <w:t>2、</w:t>
      </w:r>
      <w:r>
        <w:rPr>
          <w:rFonts w:hint="eastAsia" w:ascii="仿宋_GB2312" w:eastAsia="仿宋_GB2312"/>
          <w:szCs w:val="21"/>
        </w:rPr>
        <w:t>供应商注册成立不足三年的，承诺与声明从单位成立始至参加本项目政府采购活动止(后同)。</w:t>
      </w:r>
    </w:p>
    <w:p>
      <w:pPr>
        <w:widowControl/>
        <w:jc w:val="left"/>
        <w:rPr>
          <w:rFonts w:ascii="仿宋_GB2312" w:eastAsia="仿宋_GB2312"/>
          <w:szCs w:val="21"/>
        </w:rPr>
      </w:pPr>
    </w:p>
    <w:p>
      <w:pPr>
        <w:adjustRightInd w:val="0"/>
        <w:snapToGrid w:val="0"/>
        <w:spacing w:line="360" w:lineRule="auto"/>
        <w:rPr>
          <w:rFonts w:ascii="仿宋_GB2312" w:eastAsia="仿宋_GB2312"/>
          <w:szCs w:val="21"/>
        </w:rPr>
      </w:pPr>
    </w:p>
    <w:p>
      <w:pPr>
        <w:adjustRightInd w:val="0"/>
        <w:snapToGrid w:val="0"/>
        <w:spacing w:line="360" w:lineRule="auto"/>
        <w:rPr>
          <w:rFonts w:ascii="仿宋_GB2312" w:eastAsia="仿宋_GB2312"/>
          <w:szCs w:val="21"/>
        </w:rPr>
      </w:pPr>
    </w:p>
    <w:p>
      <w:pPr>
        <w:adjustRightInd w:val="0"/>
        <w:snapToGrid w:val="0"/>
        <w:spacing w:line="360" w:lineRule="auto"/>
        <w:rPr>
          <w:rFonts w:ascii="仿宋_GB2312" w:eastAsia="仿宋_GB2312"/>
          <w:szCs w:val="21"/>
        </w:rPr>
      </w:pPr>
    </w:p>
    <w:p>
      <w:pPr>
        <w:pStyle w:val="4"/>
        <w:rPr>
          <w:rFonts w:ascii="黑体" w:hAnsi="宋体" w:eastAsia="黑体"/>
          <w:sz w:val="28"/>
          <w:szCs w:val="28"/>
        </w:rPr>
      </w:pPr>
      <w:bookmarkStart w:id="226" w:name="_Toc536603249"/>
      <w:r>
        <w:rPr>
          <w:rFonts w:hint="eastAsia" w:ascii="黑体" w:hAnsi="宋体" w:eastAsia="黑体"/>
          <w:sz w:val="28"/>
          <w:szCs w:val="28"/>
        </w:rPr>
        <w:t>二、开标一览表</w:t>
      </w:r>
      <w:bookmarkEnd w:id="226"/>
    </w:p>
    <w:p>
      <w:pPr>
        <w:adjustRightInd w:val="0"/>
        <w:snapToGrid w:val="0"/>
        <w:ind w:left="-88" w:leftChars="-42"/>
        <w:jc w:val="center"/>
        <w:rPr>
          <w:rFonts w:ascii="宋体" w:hAnsi="宋体" w:cs="仿宋"/>
          <w:sz w:val="24"/>
        </w:rPr>
      </w:pPr>
    </w:p>
    <w:p>
      <w:pPr>
        <w:adjustRightInd w:val="0"/>
        <w:snapToGrid w:val="0"/>
        <w:ind w:left="-88" w:leftChars="-42"/>
        <w:rPr>
          <w:rFonts w:ascii="宋体" w:hAnsi="宋体" w:cs="仿宋"/>
          <w:sz w:val="24"/>
        </w:rPr>
      </w:pPr>
      <w:r>
        <w:rPr>
          <w:rFonts w:hint="eastAsia" w:ascii="宋体" w:hAnsi="宋体" w:cs="仿宋"/>
          <w:sz w:val="24"/>
        </w:rPr>
        <w:t>政府采购编号：</w:t>
      </w:r>
    </w:p>
    <w:p>
      <w:pPr>
        <w:adjustRightInd w:val="0"/>
        <w:snapToGrid w:val="0"/>
        <w:ind w:left="-88" w:leftChars="-42"/>
        <w:rPr>
          <w:rFonts w:ascii="宋体" w:hAnsi="宋体" w:cs="仿宋"/>
          <w:sz w:val="24"/>
        </w:rPr>
      </w:pPr>
      <w:r>
        <w:rPr>
          <w:rFonts w:hint="eastAsia" w:ascii="宋体" w:hAnsi="宋体" w:cs="仿宋"/>
          <w:sz w:val="24"/>
        </w:rPr>
        <w:t>采购代理编号：</w:t>
      </w:r>
      <w:r>
        <w:rPr>
          <w:rFonts w:hint="eastAsia" w:ascii="宋体" w:hAnsi="宋体" w:cs="仿宋"/>
          <w:sz w:val="24"/>
          <w:u w:val="single"/>
        </w:rPr>
        <w:t xml:space="preserve">                  </w:t>
      </w:r>
      <w:r>
        <w:rPr>
          <w:rFonts w:hint="eastAsia" w:ascii="宋体" w:hAnsi="宋体" w:cs="仿宋"/>
          <w:sz w:val="24"/>
        </w:rPr>
        <w:t xml:space="preserve">      </w:t>
      </w:r>
    </w:p>
    <w:p>
      <w:pPr>
        <w:adjustRightInd w:val="0"/>
        <w:snapToGrid w:val="0"/>
        <w:ind w:left="-88" w:leftChars="-42"/>
        <w:rPr>
          <w:rFonts w:ascii="宋体" w:hAnsi="宋体" w:cs="仿宋"/>
          <w:sz w:val="24"/>
        </w:rPr>
      </w:pPr>
      <w:r>
        <w:rPr>
          <w:rFonts w:hint="eastAsia" w:ascii="宋体" w:hAnsi="宋体" w:cs="仿宋"/>
          <w:sz w:val="24"/>
        </w:rPr>
        <w:t xml:space="preserve">采购项目名称：                                          金额单位：人民币元   </w:t>
      </w:r>
    </w:p>
    <w:p>
      <w:pPr>
        <w:adjustRightInd w:val="0"/>
        <w:snapToGrid w:val="0"/>
        <w:ind w:left="-88" w:leftChars="-42"/>
        <w:rPr>
          <w:rFonts w:ascii="宋体" w:hAnsi="宋体" w:cs="仿宋"/>
          <w:sz w:val="24"/>
        </w:rPr>
      </w:pPr>
      <w:r>
        <w:rPr>
          <w:rFonts w:hint="eastAsia" w:ascii="宋体" w:hAnsi="宋体" w:cs="仿宋"/>
          <w:sz w:val="24"/>
        </w:rPr>
        <w:t xml:space="preserve">               </w:t>
      </w:r>
    </w:p>
    <w:tbl>
      <w:tblPr>
        <w:tblStyle w:val="40"/>
        <w:tblW w:w="8820"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047"/>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rPr>
            </w:pPr>
            <w:r>
              <w:rPr>
                <w:rFonts w:hint="eastAsia" w:ascii="宋体" w:hAnsi="宋体" w:cs="宋体"/>
              </w:rPr>
              <w:t>序号</w:t>
            </w:r>
          </w:p>
        </w:tc>
        <w:tc>
          <w:tcPr>
            <w:tcW w:w="2047" w:type="dxa"/>
            <w:vMerge w:val="restart"/>
            <w:tcBorders>
              <w:top w:val="double" w:color="auto" w:sz="4" w:space="0"/>
              <w:left w:val="single" w:color="auto" w:sz="6" w:space="0"/>
              <w:bottom w:val="single" w:color="auto" w:sz="6" w:space="0"/>
              <w:right w:val="single" w:color="auto" w:sz="6" w:space="0"/>
            </w:tcBorders>
            <w:vAlign w:val="center"/>
          </w:tcPr>
          <w:p>
            <w:pPr>
              <w:ind w:left="-88" w:leftChars="-42"/>
              <w:jc w:val="center"/>
              <w:rPr>
                <w:rFonts w:ascii="宋体"/>
              </w:rPr>
            </w:pPr>
            <w:r>
              <w:rPr>
                <w:rFonts w:hint="eastAsia" w:ascii="宋体" w:hAnsi="宋体" w:cs="宋体"/>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ascii="宋体"/>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ascii="宋体"/>
              </w:rPr>
            </w:pPr>
            <w:r>
              <w:rPr>
                <w:rFonts w:hint="eastAsia" w:ascii="宋体" w:hAnsi="宋体" w:cs="宋体"/>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88" w:leftChars="-42"/>
              <w:jc w:val="center"/>
              <w:rPr>
                <w:rFonts w:ascii="宋体"/>
              </w:rPr>
            </w:pPr>
          </w:p>
        </w:tc>
        <w:tc>
          <w:tcPr>
            <w:tcW w:w="2047"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ascii="宋体"/>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ascii="宋体"/>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ascii="宋体"/>
              </w:rPr>
            </w:pPr>
            <w:r>
              <w:rPr>
                <w:rFonts w:hint="eastAsia" w:ascii="宋体" w:hAnsi="宋体" w:cs="宋体"/>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1</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合同包号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2</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货物名称</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3</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品目代码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4</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规格型号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5</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品牌和生产厂家</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rPr>
                <w:rFonts w:ascii="宋体"/>
              </w:rPr>
            </w:pPr>
            <w:r>
              <w:rPr>
                <w:rFonts w:hint="eastAsia" w:ascii="宋体" w:hAnsi="宋体" w:cs="宋体"/>
              </w:rPr>
              <w:t>品牌：</w:t>
            </w:r>
            <w:r>
              <w:rPr>
                <w:rFonts w:hint="eastAsia" w:ascii="宋体" w:hAnsi="宋体" w:cs="宋体"/>
                <w:u w:val="single"/>
              </w:rPr>
              <w:t xml:space="preserve">       </w:t>
            </w:r>
            <w:r>
              <w:rPr>
                <w:rFonts w:hint="eastAsia" w:ascii="宋体" w:hAnsi="宋体" w:cs="宋体"/>
              </w:rPr>
              <w:t>，生产厂家</w:t>
            </w:r>
            <w:r>
              <w:rPr>
                <w:rFonts w:hint="eastAsia" w:ascii="宋体" w:hAnsi="宋体" w:cs="宋体"/>
                <w:u w:val="single"/>
              </w:rPr>
              <w:t xml:space="preserve">       </w:t>
            </w:r>
            <w:r>
              <w:rPr>
                <w:rFonts w:ascii="宋体" w:hAnsi="宋体" w:cs="宋体"/>
              </w:rPr>
              <w:t>(</w:t>
            </w:r>
            <w:r>
              <w:rPr>
                <w:rFonts w:hint="eastAsia" w:ascii="宋体" w:hAnsi="宋体" w:cs="宋体"/>
              </w:rPr>
              <w:t>组织机构代码：</w:t>
            </w:r>
            <w:r>
              <w:rPr>
                <w:rFonts w:hint="eastAsia" w:ascii="宋体" w:hAnsi="宋体" w:cs="宋体"/>
                <w:u w:val="single"/>
              </w:rPr>
              <w:t xml:space="preserve">      </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6</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服务要求</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rPr>
            </w:pPr>
            <w:r>
              <w:rPr>
                <w:rFonts w:ascii="宋体" w:hAnsi="宋体" w:cs="宋体"/>
              </w:rPr>
              <w:t>7</w:t>
            </w:r>
          </w:p>
        </w:tc>
        <w:tc>
          <w:tcPr>
            <w:tcW w:w="2047" w:type="dxa"/>
            <w:tcBorders>
              <w:top w:val="single" w:color="auto" w:sz="6" w:space="0"/>
              <w:left w:val="single" w:color="auto" w:sz="6" w:space="0"/>
              <w:bottom w:val="single" w:color="auto" w:sz="6" w:space="0"/>
              <w:right w:val="single" w:color="auto" w:sz="6" w:space="0"/>
            </w:tcBorders>
          </w:tcPr>
          <w:p>
            <w:pPr>
              <w:adjustRightInd w:val="0"/>
              <w:snapToGrid w:val="0"/>
              <w:ind w:left="-88" w:leftChars="-42"/>
              <w:jc w:val="center"/>
              <w:rPr>
                <w:rFonts w:ascii="宋体"/>
              </w:rPr>
            </w:pPr>
            <w:r>
              <w:rPr>
                <w:rFonts w:hint="eastAsia" w:ascii="宋体" w:hAnsi="宋体" w:cs="宋体"/>
              </w:rPr>
              <w:t>数量</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rPr>
            </w:pPr>
            <w:r>
              <w:rPr>
                <w:rFonts w:ascii="宋体" w:hAnsi="宋体" w:cs="宋体"/>
              </w:rPr>
              <w:t>8</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rPr>
            </w:pPr>
            <w:r>
              <w:rPr>
                <w:rFonts w:hint="eastAsia" w:ascii="宋体" w:hAnsi="宋体" w:cs="宋体"/>
              </w:rPr>
              <w:t>单价</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firstLine="105" w:firstLineChars="50"/>
              <w:rPr>
                <w:rFonts w:ascii="宋体"/>
                <w:b/>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rPr>
            </w:pPr>
            <w:r>
              <w:rPr>
                <w:rFonts w:ascii="宋体" w:hAnsi="宋体" w:cs="宋体"/>
              </w:rPr>
              <w:t>9</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bCs/>
              </w:rPr>
            </w:pPr>
            <w:r>
              <w:rPr>
                <w:rFonts w:hint="eastAsia" w:ascii="宋体" w:hAnsi="宋体" w:cs="宋体"/>
                <w:bCs/>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88" w:leftChars="-42" w:firstLine="105" w:firstLineChars="50"/>
              <w:rPr>
                <w:rFonts w:ascii="宋体"/>
                <w:bCs/>
              </w:rPr>
            </w:pPr>
            <w:r>
              <w:rPr>
                <w:rFonts w:hint="eastAsia" w:ascii="宋体" w:hAnsi="宋体" w:cs="宋体"/>
                <w:bCs/>
              </w:rPr>
              <w:t>大写：</w:t>
            </w:r>
            <w:r>
              <w:rPr>
                <w:rFonts w:hint="eastAsia" w:ascii="宋体" w:hAnsi="宋体" w:cs="宋体"/>
                <w:bCs/>
                <w:u w:val="single"/>
              </w:rPr>
              <w:t xml:space="preserve">                </w:t>
            </w:r>
            <w:r>
              <w:rPr>
                <w:rFonts w:hint="eastAsia" w:ascii="宋体" w:hAnsi="宋体" w:cs="宋体"/>
                <w:bCs/>
              </w:rPr>
              <w:t>元人民币整</w:t>
            </w:r>
          </w:p>
          <w:p>
            <w:pPr>
              <w:adjustRightInd w:val="0"/>
              <w:snapToGrid w:val="0"/>
              <w:ind w:left="-88" w:leftChars="-42" w:firstLine="105" w:firstLineChars="50"/>
              <w:rPr>
                <w:rFonts w:ascii="宋体"/>
                <w:bCs/>
              </w:rPr>
            </w:pPr>
            <w:r>
              <w:rPr>
                <w:rFonts w:hint="eastAsia" w:ascii="宋体" w:hAnsi="宋体" w:cs="宋体"/>
                <w:bCs/>
              </w:rPr>
              <w:t>小写：</w:t>
            </w:r>
            <w:r>
              <w:rPr>
                <w:rFonts w:hint="eastAsia" w:ascii="宋体" w:hAnsi="宋体" w:cs="宋体"/>
                <w:bCs/>
                <w:u w:val="single"/>
              </w:rPr>
              <w:t xml:space="preserve">                </w:t>
            </w:r>
            <w:r>
              <w:rPr>
                <w:rFonts w:hint="eastAsia" w:ascii="宋体" w:hAnsi="宋体" w:cs="宋体"/>
                <w:bCs/>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rFonts w:ascii="宋体"/>
              </w:rPr>
            </w:pPr>
            <w:r>
              <w:rPr>
                <w:rFonts w:ascii="宋体" w:hAnsi="宋体" w:cs="宋体"/>
              </w:rPr>
              <w:t>10</w:t>
            </w:r>
          </w:p>
        </w:tc>
        <w:tc>
          <w:tcPr>
            <w:tcW w:w="20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ascii="宋体"/>
              </w:rPr>
            </w:pPr>
            <w:r>
              <w:rPr>
                <w:rFonts w:hint="eastAsia" w:ascii="宋体" w:hAnsi="宋体" w:cs="宋体"/>
              </w:rPr>
              <w:t>备</w:t>
            </w:r>
            <w:r>
              <w:rPr>
                <w:rFonts w:ascii="宋体" w:hAnsi="宋体" w:cs="宋体"/>
              </w:rPr>
              <w:t xml:space="preserve">  </w:t>
            </w:r>
            <w:r>
              <w:rPr>
                <w:rFonts w:hint="eastAsia" w:ascii="宋体" w:hAnsi="宋体" w:cs="宋体"/>
              </w:rPr>
              <w:t>注</w:t>
            </w:r>
          </w:p>
        </w:tc>
        <w:tc>
          <w:tcPr>
            <w:tcW w:w="6281" w:type="dxa"/>
            <w:gridSpan w:val="3"/>
            <w:tcBorders>
              <w:top w:val="single" w:color="auto" w:sz="6" w:space="0"/>
              <w:left w:val="single" w:color="auto" w:sz="6" w:space="0"/>
              <w:bottom w:val="double" w:color="auto" w:sz="4" w:space="0"/>
              <w:right w:val="double" w:color="auto" w:sz="4" w:space="0"/>
            </w:tcBorders>
          </w:tcPr>
          <w:p>
            <w:pPr>
              <w:adjustRightInd w:val="0"/>
              <w:snapToGrid w:val="0"/>
              <w:ind w:left="-88" w:leftChars="-42" w:firstLine="105" w:firstLineChars="50"/>
              <w:rPr>
                <w:rFonts w:ascii="宋体"/>
              </w:rPr>
            </w:pPr>
          </w:p>
        </w:tc>
      </w:tr>
    </w:tbl>
    <w:p>
      <w:pPr>
        <w:adjustRightInd w:val="0"/>
        <w:snapToGrid w:val="0"/>
        <w:spacing w:line="360" w:lineRule="auto"/>
        <w:ind w:left="-88" w:leftChars="-42"/>
        <w:rPr>
          <w:rFonts w:ascii="宋体" w:hAnsi="宋体" w:cs="仿宋"/>
          <w:b/>
          <w:szCs w:val="21"/>
        </w:rPr>
      </w:pPr>
    </w:p>
    <w:p>
      <w:pPr>
        <w:adjustRightInd w:val="0"/>
        <w:snapToGrid w:val="0"/>
        <w:spacing w:line="360" w:lineRule="auto"/>
        <w:ind w:left="-88" w:leftChars="-42"/>
        <w:rPr>
          <w:rFonts w:ascii="宋体" w:hAnsi="宋体" w:cs="仿宋"/>
          <w:szCs w:val="21"/>
        </w:rPr>
      </w:pPr>
      <w:r>
        <w:rPr>
          <w:rFonts w:hint="eastAsia" w:ascii="宋体" w:hAnsi="宋体" w:cs="仿宋"/>
          <w:b/>
          <w:szCs w:val="21"/>
        </w:rPr>
        <w:t>备注：</w:t>
      </w:r>
      <w:r>
        <w:rPr>
          <w:rFonts w:hint="eastAsia" w:ascii="宋体" w:hAnsi="宋体" w:cs="仿宋"/>
          <w:szCs w:val="21"/>
        </w:rPr>
        <w:t>（1）应按照第一章“投标须知”第16条的要求报价。</w:t>
      </w:r>
    </w:p>
    <w:p>
      <w:pPr>
        <w:adjustRightInd w:val="0"/>
        <w:snapToGrid w:val="0"/>
        <w:spacing w:line="360" w:lineRule="auto"/>
        <w:ind w:firstLine="420" w:firstLineChars="200"/>
        <w:rPr>
          <w:rFonts w:ascii="宋体" w:hAnsi="宋体" w:cs="仿宋"/>
          <w:b/>
          <w:szCs w:val="21"/>
          <w:u w:val="single"/>
        </w:rPr>
      </w:pPr>
      <w:r>
        <w:rPr>
          <w:rFonts w:hint="eastAsia" w:ascii="宋体" w:hAnsi="宋体" w:cs="仿宋"/>
          <w:szCs w:val="21"/>
        </w:rPr>
        <w:t>（2）根据第一章“投标须知”第15.5款、第16.6款、第27.3款的规定，</w:t>
      </w:r>
      <w:r>
        <w:rPr>
          <w:rFonts w:hint="eastAsia" w:ascii="宋体" w:hAnsi="宋体" w:cs="仿宋"/>
          <w:b/>
          <w:szCs w:val="21"/>
          <w:u w:val="single"/>
        </w:rPr>
        <w:t>投标人在投标总价外另有价格折扣的，应当直接在投标总价中给出；招标文件允许提交的备选投标方案应在“备注”栏中注明</w:t>
      </w:r>
      <w:r>
        <w:rPr>
          <w:rFonts w:hint="eastAsia" w:ascii="宋体" w:hAnsi="宋体" w:cs="仿宋"/>
          <w:b/>
          <w:szCs w:val="21"/>
        </w:rPr>
        <w:t>。</w:t>
      </w:r>
    </w:p>
    <w:p>
      <w:pPr>
        <w:adjustRightInd w:val="0"/>
        <w:snapToGrid w:val="0"/>
        <w:spacing w:line="360" w:lineRule="auto"/>
        <w:ind w:firstLine="420" w:firstLineChars="200"/>
        <w:rPr>
          <w:rFonts w:ascii="宋体" w:hAnsi="宋体" w:cs="仿宋"/>
          <w:szCs w:val="21"/>
        </w:rPr>
      </w:pPr>
      <w:r>
        <w:rPr>
          <w:rFonts w:hint="eastAsia" w:ascii="宋体" w:hAnsi="宋体" w:cs="仿宋"/>
          <w:szCs w:val="21"/>
        </w:rPr>
        <w:t>（3）品目代码、规格型号、品牌和生产厂家、单价等项如无法统一表述，可注明“详见投标分项价格表”后在投标分项价格表中列明。</w:t>
      </w:r>
    </w:p>
    <w:p>
      <w:pPr>
        <w:adjustRightInd w:val="0"/>
        <w:snapToGrid w:val="0"/>
        <w:spacing w:line="360" w:lineRule="auto"/>
        <w:rPr>
          <w:rFonts w:ascii="宋体" w:hAnsi="宋体" w:cs="仿宋"/>
          <w:b/>
          <w:szCs w:val="21"/>
        </w:rPr>
      </w:pPr>
      <w:r>
        <w:rPr>
          <w:rFonts w:hint="eastAsia" w:ascii="宋体" w:hAnsi="宋体" w:cs="仿宋"/>
          <w:b/>
          <w:szCs w:val="21"/>
        </w:rPr>
        <w:t>投标人名称（单位章）：</w:t>
      </w:r>
    </w:p>
    <w:p>
      <w:pPr>
        <w:adjustRightInd w:val="0"/>
        <w:snapToGrid w:val="0"/>
        <w:spacing w:line="360" w:lineRule="auto"/>
        <w:rPr>
          <w:rFonts w:ascii="宋体" w:hAnsi="宋体" w:cs="仿宋"/>
          <w:b/>
          <w:szCs w:val="21"/>
        </w:rPr>
      </w:pPr>
      <w:r>
        <w:rPr>
          <w:rFonts w:hint="eastAsia" w:ascii="宋体" w:hAnsi="宋体" w:cs="仿宋"/>
          <w:b/>
          <w:szCs w:val="21"/>
        </w:rPr>
        <w:t>法定代表人或其授权的代理人(签字)：</w:t>
      </w:r>
      <w:r>
        <w:rPr>
          <w:rFonts w:hint="eastAsia" w:ascii="宋体" w:hAnsi="宋体" w:cs="仿宋"/>
          <w:b/>
          <w:szCs w:val="21"/>
          <w:u w:val="single"/>
        </w:rPr>
        <w:t xml:space="preserve">                </w:t>
      </w:r>
      <w:r>
        <w:rPr>
          <w:rFonts w:hint="eastAsia" w:ascii="宋体" w:hAnsi="宋体" w:cs="仿宋"/>
          <w:b/>
          <w:szCs w:val="21"/>
        </w:rPr>
        <w:t>_</w:t>
      </w:r>
    </w:p>
    <w:p>
      <w:pPr>
        <w:adjustRightInd w:val="0"/>
        <w:snapToGrid w:val="0"/>
        <w:spacing w:line="360" w:lineRule="auto"/>
        <w:rPr>
          <w:rFonts w:ascii="宋体" w:hAnsi="宋体" w:cs="仿宋"/>
          <w:sz w:val="24"/>
        </w:rPr>
      </w:pPr>
      <w:r>
        <w:rPr>
          <w:rFonts w:hint="eastAsia" w:ascii="宋体" w:hAnsi="宋体" w:cs="仿宋"/>
          <w:b/>
          <w:szCs w:val="21"/>
        </w:rPr>
        <w:t>日期：</w:t>
      </w:r>
      <w:r>
        <w:rPr>
          <w:rFonts w:hint="eastAsia" w:ascii="宋体" w:hAnsi="宋体" w:cs="仿宋"/>
          <w:b/>
          <w:szCs w:val="21"/>
          <w:u w:val="single"/>
        </w:rPr>
        <w:t xml:space="preserve">          </w:t>
      </w:r>
      <w:r>
        <w:rPr>
          <w:rFonts w:hint="eastAsia" w:ascii="宋体" w:hAnsi="宋体" w:cs="仿宋"/>
          <w:b/>
          <w:szCs w:val="21"/>
        </w:rPr>
        <w:t>年</w:t>
      </w:r>
      <w:r>
        <w:rPr>
          <w:rFonts w:hint="eastAsia" w:ascii="宋体" w:hAnsi="宋体" w:cs="仿宋"/>
          <w:b/>
          <w:szCs w:val="21"/>
          <w:u w:val="single"/>
        </w:rPr>
        <w:t xml:space="preserve">        </w:t>
      </w:r>
      <w:r>
        <w:rPr>
          <w:rFonts w:hint="eastAsia" w:ascii="宋体" w:hAnsi="宋体" w:cs="仿宋"/>
          <w:b/>
          <w:szCs w:val="21"/>
        </w:rPr>
        <w:t>月</w:t>
      </w:r>
      <w:r>
        <w:rPr>
          <w:rFonts w:hint="eastAsia" w:ascii="宋体" w:hAnsi="宋体" w:cs="仿宋"/>
          <w:b/>
          <w:szCs w:val="21"/>
          <w:u w:val="single"/>
        </w:rPr>
        <w:t xml:space="preserve">       日</w:t>
      </w:r>
      <w:r>
        <w:rPr>
          <w:rFonts w:hint="eastAsia" w:ascii="宋体" w:hAnsi="宋体" w:cs="仿宋"/>
          <w:sz w:val="24"/>
        </w:rPr>
        <w:t xml:space="preserve"> </w:t>
      </w:r>
    </w:p>
    <w:p>
      <w:pPr>
        <w:adjustRightInd w:val="0"/>
        <w:snapToGrid w:val="0"/>
        <w:spacing w:line="360" w:lineRule="auto"/>
        <w:rPr>
          <w:rFonts w:ascii="宋体" w:hAnsi="宋体" w:cs="仿宋"/>
          <w:sz w:val="24"/>
        </w:rPr>
      </w:pPr>
    </w:p>
    <w:p>
      <w:pPr>
        <w:adjustRightInd w:val="0"/>
        <w:snapToGrid w:val="0"/>
        <w:spacing w:line="360" w:lineRule="auto"/>
        <w:rPr>
          <w:rFonts w:ascii="宋体" w:hAnsi="宋体" w:cs="仿宋"/>
          <w:sz w:val="24"/>
        </w:rPr>
      </w:pPr>
    </w:p>
    <w:p>
      <w:pPr>
        <w:pStyle w:val="4"/>
        <w:rPr>
          <w:rFonts w:ascii="黑体" w:hAnsi="宋体" w:eastAsia="黑体"/>
          <w:sz w:val="28"/>
          <w:szCs w:val="28"/>
        </w:rPr>
      </w:pPr>
      <w:bookmarkStart w:id="227" w:name="_Toc536603250"/>
      <w:r>
        <w:rPr>
          <w:rFonts w:hint="eastAsia" w:ascii="黑体" w:hAnsi="宋体" w:eastAsia="黑体"/>
          <w:sz w:val="28"/>
          <w:szCs w:val="28"/>
        </w:rPr>
        <w:t>三、投标分项价格表</w:t>
      </w:r>
      <w:bookmarkEnd w:id="227"/>
    </w:p>
    <w:p>
      <w:pPr>
        <w:spacing w:line="360" w:lineRule="exact"/>
        <w:ind w:firstLine="210" w:firstLineChars="100"/>
        <w:rPr>
          <w:rFonts w:ascii="宋体" w:hAnsi="宋体"/>
        </w:rPr>
      </w:pPr>
      <w:r>
        <w:rPr>
          <w:rFonts w:hint="eastAsia" w:ascii="宋体" w:hAnsi="宋体"/>
        </w:rPr>
        <w:t xml:space="preserve">政府采购编号:                                             委托代理编号：                                  </w:t>
      </w:r>
    </w:p>
    <w:p>
      <w:pPr>
        <w:spacing w:line="360" w:lineRule="exact"/>
        <w:ind w:firstLine="210" w:firstLineChars="100"/>
        <w:rPr>
          <w:rFonts w:ascii="宋体"/>
        </w:rPr>
      </w:pPr>
      <w:r>
        <w:rPr>
          <w:rFonts w:hint="eastAsia" w:ascii="宋体" w:hAnsi="宋体"/>
        </w:rPr>
        <w:t>采购项目名称：</w:t>
      </w:r>
    </w:p>
    <w:p>
      <w:pPr>
        <w:spacing w:line="360" w:lineRule="exact"/>
        <w:ind w:firstLine="210" w:firstLineChars="100"/>
        <w:jc w:val="left"/>
        <w:rPr>
          <w:rFonts w:ascii="宋体" w:hAnsi="宋体"/>
          <w:b/>
        </w:rPr>
      </w:pPr>
      <w:r>
        <w:rPr>
          <w:rFonts w:hint="eastAsia" w:ascii="宋体" w:hAnsi="宋体"/>
        </w:rPr>
        <w:t>包号：</w:t>
      </w:r>
      <w:r>
        <w:rPr>
          <w:rFonts w:ascii="宋体" w:hAnsi="宋体"/>
        </w:rPr>
        <w:t xml:space="preserve">        </w:t>
      </w:r>
      <w:r>
        <w:rPr>
          <w:rFonts w:hint="eastAsia" w:ascii="宋体" w:hAnsi="宋体"/>
        </w:rPr>
        <w:t xml:space="preserve">                                                                                               金额单位：人民币元</w:t>
      </w:r>
      <w:r>
        <w:rPr>
          <w:rFonts w:ascii="宋体" w:hAnsi="宋体"/>
        </w:rPr>
        <w:t xml:space="preserve"> </w:t>
      </w:r>
      <w:r>
        <w:rPr>
          <w:rFonts w:ascii="宋体" w:hAnsi="宋体"/>
          <w:b/>
        </w:rPr>
        <w:t xml:space="preserve">                                                                                              </w:t>
      </w:r>
    </w:p>
    <w:tbl>
      <w:tblPr>
        <w:tblStyle w:val="40"/>
        <w:tblW w:w="10697" w:type="dxa"/>
        <w:tblInd w:w="-81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223"/>
        <w:gridCol w:w="679"/>
        <w:gridCol w:w="738"/>
        <w:gridCol w:w="709"/>
        <w:gridCol w:w="709"/>
        <w:gridCol w:w="1134"/>
        <w:gridCol w:w="709"/>
        <w:gridCol w:w="992"/>
        <w:gridCol w:w="709"/>
        <w:gridCol w:w="708"/>
        <w:gridCol w:w="993"/>
        <w:gridCol w:w="70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6" w:hRule="atLeast"/>
        </w:trPr>
        <w:tc>
          <w:tcPr>
            <w:tcW w:w="686" w:type="dxa"/>
            <w:tcBorders>
              <w:top w:val="double" w:color="auto" w:sz="4" w:space="0"/>
            </w:tcBorders>
            <w:vAlign w:val="center"/>
          </w:tcPr>
          <w:p>
            <w:r>
              <w:rPr>
                <w:rFonts w:hint="eastAsia"/>
              </w:rPr>
              <w:t>序号</w:t>
            </w:r>
          </w:p>
        </w:tc>
        <w:tc>
          <w:tcPr>
            <w:tcW w:w="1223" w:type="dxa"/>
            <w:tcBorders>
              <w:top w:val="double" w:color="auto" w:sz="4" w:space="0"/>
            </w:tcBorders>
            <w:vAlign w:val="center"/>
          </w:tcPr>
          <w:p>
            <w:r>
              <w:rPr>
                <w:rFonts w:hint="eastAsia"/>
              </w:rPr>
              <w:t>货物名称</w:t>
            </w:r>
          </w:p>
        </w:tc>
        <w:tc>
          <w:tcPr>
            <w:tcW w:w="679" w:type="dxa"/>
            <w:tcBorders>
              <w:top w:val="double" w:color="auto" w:sz="4" w:space="0"/>
            </w:tcBorders>
          </w:tcPr>
          <w:p>
            <w:pPr>
              <w:rPr>
                <w:sz w:val="2"/>
              </w:rPr>
            </w:pPr>
          </w:p>
          <w:p>
            <w:r>
              <w:rPr>
                <w:rFonts w:hint="eastAsia"/>
              </w:rPr>
              <w:t>品目编码</w:t>
            </w:r>
          </w:p>
        </w:tc>
        <w:tc>
          <w:tcPr>
            <w:tcW w:w="738" w:type="dxa"/>
            <w:tcBorders>
              <w:top w:val="double" w:color="auto" w:sz="4" w:space="0"/>
            </w:tcBorders>
            <w:vAlign w:val="center"/>
          </w:tcPr>
          <w:p>
            <w:r>
              <w:rPr>
                <w:rFonts w:hint="eastAsia"/>
              </w:rPr>
              <w:t>商品编码</w:t>
            </w:r>
          </w:p>
        </w:tc>
        <w:tc>
          <w:tcPr>
            <w:tcW w:w="709" w:type="dxa"/>
            <w:tcBorders>
              <w:top w:val="double" w:color="auto" w:sz="4" w:space="0"/>
            </w:tcBorders>
            <w:vAlign w:val="center"/>
          </w:tcPr>
          <w:p>
            <w:r>
              <w:rPr>
                <w:rFonts w:hint="eastAsia"/>
              </w:rPr>
              <w:t>品牌</w:t>
            </w:r>
          </w:p>
        </w:tc>
        <w:tc>
          <w:tcPr>
            <w:tcW w:w="709" w:type="dxa"/>
            <w:tcBorders>
              <w:top w:val="double" w:color="auto" w:sz="4" w:space="0"/>
            </w:tcBorders>
            <w:vAlign w:val="center"/>
          </w:tcPr>
          <w:p>
            <w:r>
              <w:rPr>
                <w:rFonts w:hint="eastAsia"/>
              </w:rPr>
              <w:t>型号规格</w:t>
            </w:r>
          </w:p>
        </w:tc>
        <w:tc>
          <w:tcPr>
            <w:tcW w:w="1134" w:type="dxa"/>
            <w:tcBorders>
              <w:top w:val="double" w:color="auto" w:sz="4" w:space="0"/>
            </w:tcBorders>
            <w:vAlign w:val="center"/>
          </w:tcPr>
          <w:p>
            <w:r>
              <w:rPr>
                <w:rFonts w:hint="eastAsia"/>
              </w:rPr>
              <w:t>制造厂商机构代码</w:t>
            </w:r>
          </w:p>
        </w:tc>
        <w:tc>
          <w:tcPr>
            <w:tcW w:w="709" w:type="dxa"/>
            <w:tcBorders>
              <w:top w:val="double" w:color="auto" w:sz="4" w:space="0"/>
            </w:tcBorders>
          </w:tcPr>
          <w:p>
            <w:pPr>
              <w:rPr>
                <w:sz w:val="2"/>
              </w:rPr>
            </w:pPr>
          </w:p>
          <w:p>
            <w:r>
              <w:rPr>
                <w:rFonts w:hint="eastAsia"/>
              </w:rPr>
              <w:t>中小企业</w:t>
            </w:r>
          </w:p>
        </w:tc>
        <w:tc>
          <w:tcPr>
            <w:tcW w:w="992" w:type="dxa"/>
            <w:tcBorders>
              <w:top w:val="double" w:color="auto" w:sz="4" w:space="0"/>
            </w:tcBorders>
            <w:vAlign w:val="center"/>
          </w:tcPr>
          <w:p>
            <w:pPr>
              <w:jc w:val="center"/>
            </w:pPr>
            <w:r>
              <w:rPr>
                <w:rFonts w:hint="eastAsia"/>
              </w:rPr>
              <w:t>单价</w:t>
            </w:r>
          </w:p>
        </w:tc>
        <w:tc>
          <w:tcPr>
            <w:tcW w:w="709" w:type="dxa"/>
            <w:tcBorders>
              <w:top w:val="double" w:color="auto" w:sz="4" w:space="0"/>
            </w:tcBorders>
            <w:vAlign w:val="center"/>
          </w:tcPr>
          <w:p>
            <w:r>
              <w:rPr>
                <w:rFonts w:hint="eastAsia"/>
              </w:rPr>
              <w:t>数量</w:t>
            </w:r>
          </w:p>
        </w:tc>
        <w:tc>
          <w:tcPr>
            <w:tcW w:w="708" w:type="dxa"/>
            <w:tcBorders>
              <w:top w:val="double" w:color="auto" w:sz="4" w:space="0"/>
            </w:tcBorders>
            <w:vAlign w:val="center"/>
          </w:tcPr>
          <w:p>
            <w:r>
              <w:rPr>
                <w:rFonts w:hint="eastAsia"/>
              </w:rPr>
              <w:t>合计</w:t>
            </w:r>
          </w:p>
        </w:tc>
        <w:tc>
          <w:tcPr>
            <w:tcW w:w="993" w:type="dxa"/>
            <w:tcBorders>
              <w:top w:val="double" w:color="auto" w:sz="4" w:space="0"/>
            </w:tcBorders>
            <w:vAlign w:val="center"/>
          </w:tcPr>
          <w:p>
            <w:r>
              <w:rPr>
                <w:rFonts w:hint="eastAsia"/>
              </w:rPr>
              <w:t>政策功能编码</w:t>
            </w:r>
          </w:p>
        </w:tc>
        <w:tc>
          <w:tcPr>
            <w:tcW w:w="708" w:type="dxa"/>
            <w:tcBorders>
              <w:top w:val="double" w:color="auto" w:sz="4" w:space="0"/>
            </w:tcBorders>
            <w:vAlign w:val="center"/>
          </w:tcPr>
          <w:p>
            <w:r>
              <w:rPr>
                <w:rFonts w:hint="eastAsia"/>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86" w:type="dxa"/>
            <w:vAlign w:val="center"/>
          </w:tcPr>
          <w:p>
            <w:pPr>
              <w:adjustRightInd w:val="0"/>
              <w:snapToGrid w:val="0"/>
              <w:spacing w:line="360" w:lineRule="auto"/>
              <w:jc w:val="center"/>
              <w:rPr>
                <w:rFonts w:ascii="宋体" w:hAnsi="宋体"/>
              </w:rPr>
            </w:pPr>
          </w:p>
        </w:tc>
        <w:tc>
          <w:tcPr>
            <w:tcW w:w="1223" w:type="dxa"/>
            <w:vAlign w:val="center"/>
          </w:tcPr>
          <w:p>
            <w:pPr>
              <w:adjustRightInd w:val="0"/>
              <w:snapToGrid w:val="0"/>
              <w:spacing w:line="360" w:lineRule="auto"/>
              <w:jc w:val="center"/>
              <w:rPr>
                <w:rFonts w:ascii="宋体" w:hAnsi="宋体"/>
              </w:rPr>
            </w:pPr>
          </w:p>
        </w:tc>
        <w:tc>
          <w:tcPr>
            <w:tcW w:w="679" w:type="dxa"/>
          </w:tcPr>
          <w:p>
            <w:pPr>
              <w:spacing w:line="360" w:lineRule="auto"/>
              <w:jc w:val="center"/>
              <w:rPr>
                <w:rFonts w:ascii="宋体" w:hAnsi="宋体"/>
              </w:rPr>
            </w:pPr>
          </w:p>
        </w:tc>
        <w:tc>
          <w:tcPr>
            <w:tcW w:w="738" w:type="dxa"/>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1134" w:type="dxa"/>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992" w:type="dxa"/>
            <w:vAlign w:val="center"/>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8" w:type="dxa"/>
          </w:tcPr>
          <w:p>
            <w:pPr>
              <w:adjustRightInd w:val="0"/>
              <w:snapToGrid w:val="0"/>
              <w:spacing w:line="360" w:lineRule="auto"/>
              <w:jc w:val="center"/>
              <w:rPr>
                <w:rFonts w:ascii="宋体" w:hAnsi="宋体"/>
              </w:rPr>
            </w:pPr>
          </w:p>
        </w:tc>
        <w:tc>
          <w:tcPr>
            <w:tcW w:w="993" w:type="dxa"/>
            <w:vAlign w:val="center"/>
          </w:tcPr>
          <w:p>
            <w:pPr>
              <w:adjustRightInd w:val="0"/>
              <w:snapToGrid w:val="0"/>
              <w:spacing w:line="360" w:lineRule="auto"/>
              <w:jc w:val="center"/>
              <w:rPr>
                <w:rFonts w:ascii="宋体" w:hAnsi="宋体"/>
              </w:rPr>
            </w:pPr>
          </w:p>
        </w:tc>
        <w:tc>
          <w:tcPr>
            <w:tcW w:w="708" w:type="dxa"/>
            <w:vAlign w:val="center"/>
          </w:tcPr>
          <w:p>
            <w:pPr>
              <w:adjustRightInd w:val="0"/>
              <w:snapToGrid w:val="0"/>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86" w:type="dxa"/>
            <w:vAlign w:val="center"/>
          </w:tcPr>
          <w:p>
            <w:pPr>
              <w:adjustRightInd w:val="0"/>
              <w:snapToGrid w:val="0"/>
              <w:spacing w:line="360" w:lineRule="auto"/>
              <w:jc w:val="center"/>
              <w:rPr>
                <w:rFonts w:ascii="宋体" w:hAnsi="宋体"/>
              </w:rPr>
            </w:pPr>
          </w:p>
        </w:tc>
        <w:tc>
          <w:tcPr>
            <w:tcW w:w="1223" w:type="dxa"/>
            <w:vAlign w:val="center"/>
          </w:tcPr>
          <w:p>
            <w:pPr>
              <w:adjustRightInd w:val="0"/>
              <w:snapToGrid w:val="0"/>
              <w:spacing w:line="360" w:lineRule="auto"/>
              <w:jc w:val="center"/>
              <w:rPr>
                <w:rFonts w:ascii="宋体" w:hAnsi="宋体"/>
              </w:rPr>
            </w:pPr>
          </w:p>
        </w:tc>
        <w:tc>
          <w:tcPr>
            <w:tcW w:w="679" w:type="dxa"/>
          </w:tcPr>
          <w:p>
            <w:pPr>
              <w:spacing w:line="360" w:lineRule="auto"/>
              <w:jc w:val="center"/>
              <w:rPr>
                <w:rFonts w:ascii="宋体" w:hAnsi="宋体"/>
              </w:rPr>
            </w:pPr>
          </w:p>
        </w:tc>
        <w:tc>
          <w:tcPr>
            <w:tcW w:w="738" w:type="dxa"/>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1134" w:type="dxa"/>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992" w:type="dxa"/>
            <w:vAlign w:val="center"/>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8" w:type="dxa"/>
          </w:tcPr>
          <w:p>
            <w:pPr>
              <w:adjustRightInd w:val="0"/>
              <w:snapToGrid w:val="0"/>
              <w:spacing w:line="360" w:lineRule="auto"/>
              <w:jc w:val="center"/>
              <w:rPr>
                <w:rFonts w:ascii="宋体" w:hAnsi="宋体"/>
              </w:rPr>
            </w:pPr>
          </w:p>
        </w:tc>
        <w:tc>
          <w:tcPr>
            <w:tcW w:w="993" w:type="dxa"/>
            <w:vAlign w:val="center"/>
          </w:tcPr>
          <w:p>
            <w:pPr>
              <w:adjustRightInd w:val="0"/>
              <w:snapToGrid w:val="0"/>
              <w:spacing w:line="360" w:lineRule="auto"/>
              <w:jc w:val="center"/>
              <w:rPr>
                <w:rFonts w:ascii="宋体" w:hAnsi="宋体"/>
              </w:rPr>
            </w:pPr>
          </w:p>
        </w:tc>
        <w:tc>
          <w:tcPr>
            <w:tcW w:w="708" w:type="dxa"/>
            <w:vAlign w:val="center"/>
          </w:tcPr>
          <w:p>
            <w:pPr>
              <w:adjustRightInd w:val="0"/>
              <w:snapToGrid w:val="0"/>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86" w:type="dxa"/>
            <w:vAlign w:val="center"/>
          </w:tcPr>
          <w:p>
            <w:pPr>
              <w:adjustRightInd w:val="0"/>
              <w:snapToGrid w:val="0"/>
              <w:spacing w:line="360" w:lineRule="auto"/>
              <w:jc w:val="center"/>
              <w:rPr>
                <w:rFonts w:ascii="宋体" w:hAnsi="宋体"/>
              </w:rPr>
            </w:pPr>
          </w:p>
        </w:tc>
        <w:tc>
          <w:tcPr>
            <w:tcW w:w="1223" w:type="dxa"/>
            <w:vAlign w:val="center"/>
          </w:tcPr>
          <w:p>
            <w:pPr>
              <w:adjustRightInd w:val="0"/>
              <w:snapToGrid w:val="0"/>
              <w:spacing w:line="360" w:lineRule="auto"/>
              <w:jc w:val="center"/>
              <w:rPr>
                <w:rFonts w:ascii="宋体" w:hAnsi="宋体"/>
              </w:rPr>
            </w:pPr>
          </w:p>
        </w:tc>
        <w:tc>
          <w:tcPr>
            <w:tcW w:w="679" w:type="dxa"/>
          </w:tcPr>
          <w:p>
            <w:pPr>
              <w:spacing w:line="360" w:lineRule="auto"/>
              <w:jc w:val="center"/>
              <w:rPr>
                <w:rFonts w:ascii="宋体" w:hAnsi="宋体"/>
              </w:rPr>
            </w:pPr>
          </w:p>
        </w:tc>
        <w:tc>
          <w:tcPr>
            <w:tcW w:w="738" w:type="dxa"/>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1134" w:type="dxa"/>
          </w:tcPr>
          <w:p>
            <w:pPr>
              <w:adjustRightInd w:val="0"/>
              <w:snapToGrid w:val="0"/>
              <w:spacing w:line="360" w:lineRule="auto"/>
              <w:jc w:val="center"/>
              <w:rPr>
                <w:rFonts w:ascii="宋体" w:hAnsi="宋体"/>
              </w:rPr>
            </w:pPr>
          </w:p>
        </w:tc>
        <w:tc>
          <w:tcPr>
            <w:tcW w:w="709" w:type="dxa"/>
          </w:tcPr>
          <w:p>
            <w:pPr>
              <w:adjustRightInd w:val="0"/>
              <w:snapToGrid w:val="0"/>
              <w:spacing w:line="360" w:lineRule="auto"/>
              <w:jc w:val="center"/>
              <w:rPr>
                <w:rFonts w:ascii="宋体" w:hAnsi="宋体"/>
              </w:rPr>
            </w:pPr>
          </w:p>
        </w:tc>
        <w:tc>
          <w:tcPr>
            <w:tcW w:w="992" w:type="dxa"/>
            <w:vAlign w:val="center"/>
          </w:tcPr>
          <w:p>
            <w:pPr>
              <w:adjustRightInd w:val="0"/>
              <w:snapToGrid w:val="0"/>
              <w:spacing w:line="360" w:lineRule="auto"/>
              <w:jc w:val="center"/>
              <w:rPr>
                <w:rFonts w:ascii="宋体" w:hAnsi="宋体"/>
              </w:rPr>
            </w:pPr>
          </w:p>
        </w:tc>
        <w:tc>
          <w:tcPr>
            <w:tcW w:w="709" w:type="dxa"/>
            <w:vAlign w:val="center"/>
          </w:tcPr>
          <w:p>
            <w:pPr>
              <w:adjustRightInd w:val="0"/>
              <w:snapToGrid w:val="0"/>
              <w:spacing w:line="360" w:lineRule="auto"/>
              <w:jc w:val="center"/>
              <w:rPr>
                <w:rFonts w:ascii="宋体" w:hAnsi="宋体"/>
              </w:rPr>
            </w:pPr>
          </w:p>
        </w:tc>
        <w:tc>
          <w:tcPr>
            <w:tcW w:w="708" w:type="dxa"/>
          </w:tcPr>
          <w:p>
            <w:pPr>
              <w:adjustRightInd w:val="0"/>
              <w:snapToGrid w:val="0"/>
              <w:spacing w:line="360" w:lineRule="auto"/>
              <w:jc w:val="center"/>
              <w:rPr>
                <w:rFonts w:ascii="宋体" w:hAnsi="宋体"/>
              </w:rPr>
            </w:pPr>
          </w:p>
        </w:tc>
        <w:tc>
          <w:tcPr>
            <w:tcW w:w="993" w:type="dxa"/>
            <w:vAlign w:val="center"/>
          </w:tcPr>
          <w:p>
            <w:pPr>
              <w:adjustRightInd w:val="0"/>
              <w:snapToGrid w:val="0"/>
              <w:spacing w:line="360" w:lineRule="auto"/>
              <w:jc w:val="center"/>
              <w:rPr>
                <w:rFonts w:ascii="宋体" w:hAnsi="宋体"/>
              </w:rPr>
            </w:pPr>
          </w:p>
        </w:tc>
        <w:tc>
          <w:tcPr>
            <w:tcW w:w="708" w:type="dxa"/>
            <w:vAlign w:val="center"/>
          </w:tcPr>
          <w:p>
            <w:pPr>
              <w:adjustRightInd w:val="0"/>
              <w:snapToGrid w:val="0"/>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86" w:type="dxa"/>
            <w:tcBorders>
              <w:bottom w:val="double" w:color="auto" w:sz="4" w:space="0"/>
            </w:tcBorders>
            <w:vAlign w:val="center"/>
          </w:tcPr>
          <w:p>
            <w:pPr>
              <w:adjustRightInd w:val="0"/>
              <w:snapToGrid w:val="0"/>
              <w:spacing w:line="360" w:lineRule="auto"/>
              <w:jc w:val="center"/>
              <w:rPr>
                <w:rFonts w:ascii="宋体" w:hAnsi="宋体"/>
              </w:rPr>
            </w:pPr>
          </w:p>
        </w:tc>
        <w:tc>
          <w:tcPr>
            <w:tcW w:w="1223" w:type="dxa"/>
            <w:tcBorders>
              <w:bottom w:val="double" w:color="auto" w:sz="4" w:space="0"/>
            </w:tcBorders>
            <w:vAlign w:val="center"/>
          </w:tcPr>
          <w:p>
            <w:pPr>
              <w:adjustRightInd w:val="0"/>
              <w:snapToGrid w:val="0"/>
              <w:jc w:val="center"/>
              <w:rPr>
                <w:rFonts w:ascii="宋体" w:hAnsi="宋体"/>
              </w:rPr>
            </w:pPr>
            <w:r>
              <w:rPr>
                <w:rFonts w:hint="eastAsia" w:ascii="Tahoma" w:hAnsi="Tahoma" w:eastAsia="微软雅黑"/>
              </w:rPr>
              <w:t>包合计</w:t>
            </w:r>
          </w:p>
        </w:tc>
        <w:tc>
          <w:tcPr>
            <w:tcW w:w="679" w:type="dxa"/>
            <w:tcBorders>
              <w:bottom w:val="double" w:color="auto" w:sz="4" w:space="0"/>
            </w:tcBorders>
          </w:tcPr>
          <w:p>
            <w:pPr>
              <w:spacing w:line="360" w:lineRule="auto"/>
              <w:jc w:val="center"/>
              <w:rPr>
                <w:rFonts w:ascii="宋体" w:hAnsi="宋体"/>
              </w:rPr>
            </w:pPr>
          </w:p>
        </w:tc>
        <w:tc>
          <w:tcPr>
            <w:tcW w:w="738" w:type="dxa"/>
            <w:tcBorders>
              <w:bottom w:val="double" w:color="auto" w:sz="4" w:space="0"/>
            </w:tcBorders>
          </w:tcPr>
          <w:p>
            <w:pPr>
              <w:adjustRightInd w:val="0"/>
              <w:snapToGrid w:val="0"/>
              <w:spacing w:line="360" w:lineRule="auto"/>
              <w:jc w:val="center"/>
              <w:rPr>
                <w:rFonts w:ascii="宋体" w:hAnsi="宋体"/>
              </w:rPr>
            </w:pPr>
          </w:p>
        </w:tc>
        <w:tc>
          <w:tcPr>
            <w:tcW w:w="709" w:type="dxa"/>
            <w:tcBorders>
              <w:bottom w:val="double" w:color="auto" w:sz="4" w:space="0"/>
            </w:tcBorders>
            <w:vAlign w:val="center"/>
          </w:tcPr>
          <w:p>
            <w:pPr>
              <w:adjustRightInd w:val="0"/>
              <w:snapToGrid w:val="0"/>
              <w:spacing w:line="360" w:lineRule="auto"/>
              <w:jc w:val="center"/>
              <w:rPr>
                <w:rFonts w:ascii="宋体" w:hAnsi="宋体"/>
              </w:rPr>
            </w:pPr>
          </w:p>
        </w:tc>
        <w:tc>
          <w:tcPr>
            <w:tcW w:w="709" w:type="dxa"/>
            <w:tcBorders>
              <w:bottom w:val="double" w:color="auto" w:sz="4" w:space="0"/>
            </w:tcBorders>
          </w:tcPr>
          <w:p>
            <w:pPr>
              <w:adjustRightInd w:val="0"/>
              <w:snapToGrid w:val="0"/>
              <w:spacing w:line="360" w:lineRule="auto"/>
              <w:jc w:val="center"/>
              <w:rPr>
                <w:rFonts w:ascii="宋体" w:hAnsi="宋体"/>
              </w:rPr>
            </w:pPr>
          </w:p>
        </w:tc>
        <w:tc>
          <w:tcPr>
            <w:tcW w:w="1134" w:type="dxa"/>
            <w:tcBorders>
              <w:bottom w:val="double" w:color="auto" w:sz="4" w:space="0"/>
            </w:tcBorders>
          </w:tcPr>
          <w:p>
            <w:pPr>
              <w:adjustRightInd w:val="0"/>
              <w:snapToGrid w:val="0"/>
              <w:spacing w:line="360" w:lineRule="auto"/>
              <w:jc w:val="center"/>
              <w:rPr>
                <w:rFonts w:ascii="宋体" w:hAnsi="宋体"/>
              </w:rPr>
            </w:pPr>
          </w:p>
        </w:tc>
        <w:tc>
          <w:tcPr>
            <w:tcW w:w="709" w:type="dxa"/>
            <w:tcBorders>
              <w:bottom w:val="double" w:color="auto" w:sz="4" w:space="0"/>
            </w:tcBorders>
          </w:tcPr>
          <w:p>
            <w:pPr>
              <w:adjustRightInd w:val="0"/>
              <w:snapToGrid w:val="0"/>
              <w:spacing w:line="360" w:lineRule="auto"/>
              <w:jc w:val="center"/>
              <w:rPr>
                <w:rFonts w:ascii="宋体" w:hAnsi="宋体"/>
              </w:rPr>
            </w:pPr>
          </w:p>
        </w:tc>
        <w:tc>
          <w:tcPr>
            <w:tcW w:w="992" w:type="dxa"/>
            <w:tcBorders>
              <w:bottom w:val="double" w:color="auto" w:sz="4" w:space="0"/>
            </w:tcBorders>
            <w:vAlign w:val="center"/>
          </w:tcPr>
          <w:p>
            <w:pPr>
              <w:adjustRightInd w:val="0"/>
              <w:snapToGrid w:val="0"/>
              <w:spacing w:line="360" w:lineRule="auto"/>
              <w:jc w:val="center"/>
              <w:rPr>
                <w:rFonts w:ascii="宋体" w:hAnsi="宋体"/>
              </w:rPr>
            </w:pPr>
          </w:p>
        </w:tc>
        <w:tc>
          <w:tcPr>
            <w:tcW w:w="709" w:type="dxa"/>
            <w:tcBorders>
              <w:bottom w:val="double" w:color="auto" w:sz="4" w:space="0"/>
            </w:tcBorders>
            <w:vAlign w:val="center"/>
          </w:tcPr>
          <w:p>
            <w:pPr>
              <w:adjustRightInd w:val="0"/>
              <w:snapToGrid w:val="0"/>
              <w:spacing w:line="360" w:lineRule="auto"/>
              <w:jc w:val="center"/>
              <w:rPr>
                <w:rFonts w:ascii="宋体" w:hAnsi="宋体"/>
              </w:rPr>
            </w:pPr>
          </w:p>
        </w:tc>
        <w:tc>
          <w:tcPr>
            <w:tcW w:w="708" w:type="dxa"/>
            <w:tcBorders>
              <w:bottom w:val="double" w:color="auto" w:sz="4" w:space="0"/>
            </w:tcBorders>
          </w:tcPr>
          <w:p>
            <w:pPr>
              <w:adjustRightInd w:val="0"/>
              <w:snapToGrid w:val="0"/>
              <w:spacing w:line="360" w:lineRule="auto"/>
              <w:jc w:val="center"/>
              <w:rPr>
                <w:rFonts w:ascii="宋体" w:hAnsi="宋体"/>
              </w:rPr>
            </w:pPr>
          </w:p>
        </w:tc>
        <w:tc>
          <w:tcPr>
            <w:tcW w:w="993" w:type="dxa"/>
            <w:tcBorders>
              <w:bottom w:val="double" w:color="auto" w:sz="4" w:space="0"/>
            </w:tcBorders>
            <w:vAlign w:val="center"/>
          </w:tcPr>
          <w:p>
            <w:pPr>
              <w:adjustRightInd w:val="0"/>
              <w:snapToGrid w:val="0"/>
              <w:spacing w:line="360" w:lineRule="auto"/>
              <w:jc w:val="center"/>
              <w:rPr>
                <w:rFonts w:ascii="宋体" w:hAnsi="宋体"/>
              </w:rPr>
            </w:pPr>
          </w:p>
        </w:tc>
        <w:tc>
          <w:tcPr>
            <w:tcW w:w="708" w:type="dxa"/>
            <w:tcBorders>
              <w:bottom w:val="double" w:color="auto" w:sz="4" w:space="0"/>
            </w:tcBorders>
            <w:vAlign w:val="center"/>
          </w:tcPr>
          <w:p>
            <w:pPr>
              <w:adjustRightInd w:val="0"/>
              <w:snapToGrid w:val="0"/>
              <w:spacing w:line="360" w:lineRule="auto"/>
              <w:jc w:val="center"/>
              <w:rPr>
                <w:rFonts w:ascii="宋体" w:hAnsi="宋体"/>
              </w:rPr>
            </w:pPr>
          </w:p>
        </w:tc>
      </w:tr>
    </w:tbl>
    <w:p>
      <w:pPr>
        <w:spacing w:line="360" w:lineRule="exact"/>
        <w:ind w:firstLine="211" w:firstLineChars="100"/>
        <w:rPr>
          <w:rFonts w:ascii="楷体_GB2312" w:eastAsia="楷体_GB2312"/>
          <w:b/>
        </w:rPr>
      </w:pPr>
    </w:p>
    <w:p>
      <w:pPr>
        <w:adjustRightInd w:val="0"/>
        <w:snapToGrid w:val="0"/>
        <w:spacing w:line="360" w:lineRule="auto"/>
        <w:ind w:firstLine="210" w:firstLineChars="100"/>
        <w:rPr>
          <w:rFonts w:ascii="宋体"/>
          <w:u w:val="single"/>
        </w:rPr>
      </w:pPr>
      <w:r>
        <w:rPr>
          <w:rFonts w:hint="eastAsia" w:ascii="宋体" w:hAnsi="宋体"/>
        </w:rPr>
        <w:t>报价金额合计：小写：</w:t>
      </w:r>
      <w:r>
        <w:rPr>
          <w:rFonts w:ascii="宋体" w:hAnsi="宋体"/>
          <w:u w:val="single"/>
        </w:rPr>
        <w:t xml:space="preserve">                      </w:t>
      </w:r>
      <w:r>
        <w:rPr>
          <w:rFonts w:hint="eastAsia" w:ascii="宋体" w:hAnsi="宋体"/>
        </w:rPr>
        <w:t>大写：</w:t>
      </w:r>
      <w:r>
        <w:rPr>
          <w:rFonts w:hint="eastAsia" w:ascii="宋体" w:hAnsi="宋体"/>
          <w:u w:val="single"/>
        </w:rPr>
        <w:t xml:space="preserve">     </w:t>
      </w:r>
      <w:r>
        <w:rPr>
          <w:rFonts w:ascii="宋体" w:hAnsi="宋体"/>
          <w:u w:val="single"/>
        </w:rPr>
        <w:t xml:space="preserve">                      </w:t>
      </w:r>
    </w:p>
    <w:p>
      <w:pPr>
        <w:spacing w:line="360" w:lineRule="exact"/>
        <w:ind w:firstLine="1470" w:firstLineChars="700"/>
        <w:rPr>
          <w:rFonts w:ascii="宋体"/>
          <w:u w:val="single"/>
        </w:rPr>
      </w:pPr>
    </w:p>
    <w:p>
      <w:pPr>
        <w:adjustRightInd w:val="0"/>
        <w:snapToGrid w:val="0"/>
        <w:spacing w:line="360" w:lineRule="auto"/>
        <w:ind w:left="-88" w:leftChars="-42" w:firstLine="420" w:firstLineChars="200"/>
        <w:rPr>
          <w:rFonts w:ascii="仿宋" w:hAnsi="仿宋" w:eastAsia="仿宋" w:cs="仿宋"/>
          <w:szCs w:val="21"/>
        </w:rPr>
      </w:pPr>
      <w:r>
        <w:rPr>
          <w:rFonts w:hint="eastAsia" w:ascii="宋体" w:hAnsi="宋体"/>
        </w:rPr>
        <w:t>备注：（1）品目代码是指货物《政府采购品目分类目录》中的分类代码，应与采购文件的需求对应，否则报价有可能被拒绝。政策功能编码包括货物或服务的提供厂商为“中型企业”或者“小型、微型企业”，以及提供的产品的中国环境标志认证证书编号、节能标志认证证书号、两型产品编号。</w:t>
      </w:r>
    </w:p>
    <w:p>
      <w:pPr>
        <w:adjustRightInd w:val="0"/>
        <w:snapToGrid w:val="0"/>
        <w:spacing w:line="360" w:lineRule="auto"/>
        <w:ind w:firstLine="840" w:firstLineChars="400"/>
        <w:rPr>
          <w:rFonts w:ascii="宋体" w:hAnsi="宋体"/>
        </w:rPr>
      </w:pPr>
      <w:r>
        <w:rPr>
          <w:rFonts w:hint="eastAsia" w:ascii="宋体" w:hAnsi="宋体"/>
        </w:rPr>
        <w:t>（2）应按照第一章“投标须知”第16条的要求报价。</w:t>
      </w:r>
    </w:p>
    <w:p>
      <w:pPr>
        <w:adjustRightInd w:val="0"/>
        <w:snapToGrid w:val="0"/>
        <w:spacing w:line="360" w:lineRule="auto"/>
        <w:ind w:left="-88" w:leftChars="-42" w:firstLine="420" w:firstLineChars="200"/>
        <w:rPr>
          <w:rFonts w:ascii="宋体" w:hAnsi="宋体"/>
        </w:rPr>
      </w:pPr>
      <w:r>
        <w:rPr>
          <w:rFonts w:hint="eastAsia" w:ascii="宋体" w:hAnsi="宋体"/>
        </w:rPr>
        <w:t xml:space="preserve">     （3）单价应包括必不可少的部件、标准备件等费用。</w:t>
      </w:r>
    </w:p>
    <w:p>
      <w:pPr>
        <w:adjustRightInd w:val="0"/>
        <w:snapToGrid w:val="0"/>
        <w:spacing w:line="360" w:lineRule="auto"/>
        <w:ind w:left="-88" w:leftChars="-42" w:firstLine="420" w:firstLineChars="200"/>
        <w:rPr>
          <w:rFonts w:ascii="仿宋" w:hAnsi="仿宋" w:eastAsia="仿宋" w:cs="仿宋"/>
          <w:szCs w:val="21"/>
        </w:rPr>
      </w:pPr>
      <w:r>
        <w:rPr>
          <w:rFonts w:hint="eastAsia" w:ascii="宋体" w:hAnsi="宋体"/>
        </w:rPr>
        <w:t xml:space="preserve">     （4）如果单价与总价不符时，以单价为准，并修正总价。</w:t>
      </w:r>
    </w:p>
    <w:p>
      <w:pPr>
        <w:adjustRightInd w:val="0"/>
        <w:snapToGrid w:val="0"/>
        <w:spacing w:before="50" w:line="360" w:lineRule="auto"/>
        <w:rPr>
          <w:rFonts w:ascii="宋体" w:hAnsi="宋体" w:cs="仿宋"/>
          <w:b/>
          <w:szCs w:val="21"/>
        </w:rPr>
      </w:pPr>
      <w:r>
        <w:rPr>
          <w:rFonts w:hint="eastAsia" w:ascii="宋体" w:hAnsi="宋体" w:cs="仿宋"/>
          <w:b/>
          <w:szCs w:val="21"/>
        </w:rPr>
        <w:t>投标人名称（单位章）：</w:t>
      </w:r>
    </w:p>
    <w:p>
      <w:pPr>
        <w:adjustRightInd w:val="0"/>
        <w:snapToGrid w:val="0"/>
        <w:spacing w:before="50" w:line="360" w:lineRule="auto"/>
        <w:rPr>
          <w:rFonts w:ascii="宋体" w:hAnsi="宋体" w:cs="仿宋"/>
          <w:b/>
          <w:szCs w:val="21"/>
        </w:rPr>
      </w:pPr>
      <w:r>
        <w:rPr>
          <w:rFonts w:hint="eastAsia" w:ascii="宋体" w:hAnsi="宋体" w:cs="仿宋"/>
          <w:b/>
          <w:szCs w:val="21"/>
        </w:rPr>
        <w:t>法定代表人或其授权的代理人(签字)：</w:t>
      </w:r>
      <w:r>
        <w:rPr>
          <w:rFonts w:hint="eastAsia" w:ascii="宋体" w:hAnsi="宋体" w:cs="仿宋"/>
          <w:b/>
          <w:szCs w:val="21"/>
          <w:u w:val="single"/>
        </w:rPr>
        <w:t xml:space="preserve">               </w:t>
      </w:r>
      <w:r>
        <w:rPr>
          <w:rFonts w:hint="eastAsia" w:ascii="宋体" w:hAnsi="宋体" w:cs="仿宋"/>
          <w:b/>
          <w:szCs w:val="21"/>
        </w:rPr>
        <w:t xml:space="preserve"> </w:t>
      </w:r>
    </w:p>
    <w:p>
      <w:pPr>
        <w:rPr>
          <w:rFonts w:ascii="宋体" w:hAnsi="宋体" w:cs="仿宋"/>
          <w:b/>
          <w:szCs w:val="21"/>
        </w:rPr>
      </w:pPr>
      <w:r>
        <w:rPr>
          <w:rFonts w:hint="eastAsia" w:ascii="宋体" w:hAnsi="宋体" w:cs="仿宋"/>
          <w:b/>
          <w:szCs w:val="21"/>
        </w:rPr>
        <w:t>日期：</w:t>
      </w:r>
      <w:r>
        <w:rPr>
          <w:rFonts w:hint="eastAsia" w:ascii="宋体" w:hAnsi="宋体" w:cs="仿宋"/>
          <w:b/>
          <w:szCs w:val="21"/>
          <w:u w:val="single"/>
        </w:rPr>
        <w:t xml:space="preserve">             </w:t>
      </w:r>
      <w:r>
        <w:rPr>
          <w:rFonts w:hint="eastAsia" w:ascii="宋体" w:hAnsi="宋体" w:cs="仿宋"/>
          <w:b/>
          <w:szCs w:val="21"/>
        </w:rPr>
        <w:t>年</w:t>
      </w:r>
      <w:r>
        <w:rPr>
          <w:rFonts w:hint="eastAsia" w:ascii="宋体" w:hAnsi="宋体" w:cs="仿宋"/>
          <w:b/>
          <w:szCs w:val="21"/>
          <w:u w:val="single"/>
        </w:rPr>
        <w:t xml:space="preserve">            </w:t>
      </w:r>
      <w:r>
        <w:rPr>
          <w:rFonts w:hint="eastAsia" w:ascii="宋体" w:hAnsi="宋体" w:cs="仿宋"/>
          <w:b/>
          <w:szCs w:val="21"/>
        </w:rPr>
        <w:t>月</w:t>
      </w:r>
      <w:r>
        <w:rPr>
          <w:rFonts w:hint="eastAsia" w:ascii="宋体" w:hAnsi="宋体" w:cs="仿宋"/>
          <w:b/>
          <w:szCs w:val="21"/>
          <w:u w:val="single"/>
        </w:rPr>
        <w:t xml:space="preserve">         </w:t>
      </w:r>
      <w:r>
        <w:rPr>
          <w:rFonts w:hint="eastAsia" w:ascii="宋体" w:hAnsi="宋体" w:cs="仿宋"/>
          <w:b/>
          <w:szCs w:val="21"/>
        </w:rPr>
        <w:t xml:space="preserve"> </w:t>
      </w:r>
      <w:bookmarkStart w:id="228" w:name="_Toc418504661"/>
    </w:p>
    <w:p>
      <w:pPr>
        <w:rPr>
          <w:rFonts w:ascii="黑体" w:hAnsi="宋体" w:eastAsia="黑体"/>
          <w:sz w:val="28"/>
          <w:szCs w:val="28"/>
        </w:rPr>
      </w:pPr>
    </w:p>
    <w:p>
      <w:pPr>
        <w:rPr>
          <w:rFonts w:ascii="黑体" w:hAnsi="宋体" w:eastAsia="黑体"/>
          <w:sz w:val="28"/>
          <w:szCs w:val="28"/>
        </w:rPr>
      </w:pPr>
    </w:p>
    <w:p>
      <w:pPr>
        <w:rPr>
          <w:rFonts w:ascii="黑体" w:hAnsi="宋体" w:eastAsia="黑体"/>
          <w:sz w:val="28"/>
          <w:szCs w:val="28"/>
        </w:rPr>
      </w:pPr>
    </w:p>
    <w:p>
      <w:pPr>
        <w:rPr>
          <w:rFonts w:ascii="黑体" w:hAnsi="宋体" w:eastAsia="黑体"/>
          <w:sz w:val="28"/>
          <w:szCs w:val="28"/>
        </w:rPr>
      </w:pPr>
    </w:p>
    <w:p>
      <w:pPr>
        <w:rPr>
          <w:rFonts w:ascii="黑体" w:hAnsi="宋体" w:eastAsia="黑体"/>
          <w:sz w:val="28"/>
          <w:szCs w:val="28"/>
        </w:rPr>
      </w:pPr>
    </w:p>
    <w:p>
      <w:pPr>
        <w:pStyle w:val="4"/>
        <w:rPr>
          <w:rFonts w:ascii="黑体" w:hAnsi="黑体" w:eastAsia="黑体" w:cs="仿宋"/>
          <w:sz w:val="28"/>
          <w:szCs w:val="21"/>
        </w:rPr>
      </w:pPr>
      <w:bookmarkStart w:id="229" w:name="_Toc536603251"/>
      <w:r>
        <w:rPr>
          <w:rFonts w:hint="eastAsia" w:ascii="黑体" w:hAnsi="黑体" w:eastAsia="黑体" w:cs="仿宋"/>
          <w:sz w:val="28"/>
          <w:szCs w:val="21"/>
        </w:rPr>
        <w:t>四、商务条款响应/偏离表</w:t>
      </w:r>
      <w:bookmarkEnd w:id="228"/>
      <w:bookmarkEnd w:id="229"/>
    </w:p>
    <w:p>
      <w:pPr>
        <w:rPr>
          <w:rFonts w:ascii="宋体" w:hAnsi="宋体"/>
          <w:b/>
          <w:szCs w:val="21"/>
        </w:rPr>
      </w:pPr>
    </w:p>
    <w:p>
      <w:pPr>
        <w:adjustRightInd w:val="0"/>
        <w:snapToGrid w:val="0"/>
        <w:ind w:left="-88" w:leftChars="-42" w:firstLine="266" w:firstLineChars="100"/>
        <w:rPr>
          <w:rFonts w:ascii="宋体" w:hAnsi="宋体"/>
          <w:szCs w:val="21"/>
          <w:u w:val="single"/>
        </w:rPr>
      </w:pPr>
      <w:r>
        <w:rPr>
          <w:rFonts w:hint="eastAsia" w:ascii="宋体" w:hAnsi="宋体"/>
          <w:spacing w:val="28"/>
          <w:szCs w:val="21"/>
        </w:rPr>
        <w:t>政府采购编号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p>
    <w:tbl>
      <w:tblPr>
        <w:tblStyle w:val="40"/>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序号</w:t>
            </w:r>
          </w:p>
        </w:tc>
        <w:tc>
          <w:tcPr>
            <w:tcW w:w="1685"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招标文件条目号</w:t>
            </w:r>
          </w:p>
        </w:tc>
        <w:tc>
          <w:tcPr>
            <w:tcW w:w="1948"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采购规格</w:t>
            </w:r>
            <w:r>
              <w:rPr>
                <w:rFonts w:ascii="宋体" w:hAnsi="宋体" w:cs="宋体"/>
              </w:rPr>
              <w:t>/</w:t>
            </w:r>
            <w:r>
              <w:rPr>
                <w:rFonts w:hint="eastAsia" w:ascii="宋体" w:hAnsi="宋体" w:cs="宋体"/>
              </w:rPr>
              <w:t>商务条款</w:t>
            </w:r>
          </w:p>
        </w:tc>
        <w:tc>
          <w:tcPr>
            <w:tcW w:w="2600"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投标文件的规格</w:t>
            </w:r>
            <w:r>
              <w:rPr>
                <w:rFonts w:ascii="宋体" w:hAnsi="宋体" w:cs="宋体"/>
              </w:rPr>
              <w:t>/</w:t>
            </w:r>
            <w:r>
              <w:rPr>
                <w:rFonts w:hint="eastAsia" w:ascii="宋体" w:hAnsi="宋体" w:cs="宋体"/>
              </w:rPr>
              <w:t>商务条款</w:t>
            </w:r>
          </w:p>
        </w:tc>
        <w:tc>
          <w:tcPr>
            <w:tcW w:w="1517"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响应与偏离</w:t>
            </w:r>
          </w:p>
        </w:tc>
        <w:tc>
          <w:tcPr>
            <w:tcW w:w="1119" w:type="dxa"/>
            <w:tcBorders>
              <w:top w:val="double" w:color="auto" w:sz="4" w:space="0"/>
            </w:tcBorders>
            <w:vAlign w:val="center"/>
          </w:tcPr>
          <w:p>
            <w:pPr>
              <w:adjustRightInd w:val="0"/>
              <w:snapToGrid w:val="0"/>
              <w:ind w:left="-88" w:leftChars="-42"/>
              <w:jc w:val="center"/>
              <w:rPr>
                <w:rFonts w:ascii="宋体"/>
              </w:rPr>
            </w:pPr>
            <w:r>
              <w:rPr>
                <w:rFonts w:hint="eastAsia" w:ascii="宋体" w:hAnsi="宋体" w:cs="宋体"/>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88" w:leftChars="-42"/>
              <w:jc w:val="center"/>
              <w:rPr>
                <w:rFonts w:ascii="宋体"/>
              </w:rPr>
            </w:pPr>
          </w:p>
        </w:tc>
        <w:tc>
          <w:tcPr>
            <w:tcW w:w="1685" w:type="dxa"/>
            <w:vAlign w:val="center"/>
          </w:tcPr>
          <w:p>
            <w:pPr>
              <w:adjustRightInd w:val="0"/>
              <w:snapToGrid w:val="0"/>
              <w:ind w:left="-88" w:leftChars="-42"/>
              <w:jc w:val="center"/>
              <w:rPr>
                <w:rFonts w:ascii="宋体"/>
              </w:rPr>
            </w:pPr>
          </w:p>
        </w:tc>
        <w:tc>
          <w:tcPr>
            <w:tcW w:w="1948" w:type="dxa"/>
            <w:vAlign w:val="center"/>
          </w:tcPr>
          <w:p>
            <w:pPr>
              <w:adjustRightInd w:val="0"/>
              <w:snapToGrid w:val="0"/>
              <w:ind w:left="-88" w:leftChars="-42"/>
              <w:jc w:val="center"/>
              <w:rPr>
                <w:rFonts w:ascii="宋体"/>
              </w:rPr>
            </w:pPr>
          </w:p>
        </w:tc>
        <w:tc>
          <w:tcPr>
            <w:tcW w:w="2600" w:type="dxa"/>
            <w:vAlign w:val="center"/>
          </w:tcPr>
          <w:p>
            <w:pPr>
              <w:adjustRightInd w:val="0"/>
              <w:snapToGrid w:val="0"/>
              <w:ind w:left="-88" w:leftChars="-42"/>
              <w:jc w:val="center"/>
              <w:rPr>
                <w:rFonts w:ascii="宋体"/>
              </w:rPr>
            </w:pPr>
          </w:p>
        </w:tc>
        <w:tc>
          <w:tcPr>
            <w:tcW w:w="1517" w:type="dxa"/>
            <w:vAlign w:val="center"/>
          </w:tcPr>
          <w:p>
            <w:pPr>
              <w:adjustRightInd w:val="0"/>
              <w:snapToGrid w:val="0"/>
              <w:ind w:left="-88" w:leftChars="-42"/>
              <w:jc w:val="center"/>
              <w:rPr>
                <w:rFonts w:ascii="宋体"/>
              </w:rPr>
            </w:pPr>
          </w:p>
        </w:tc>
        <w:tc>
          <w:tcPr>
            <w:tcW w:w="1119" w:type="dxa"/>
            <w:vAlign w:val="center"/>
          </w:tcPr>
          <w:p>
            <w:pPr>
              <w:adjustRightInd w:val="0"/>
              <w:snapToGrid w:val="0"/>
              <w:ind w:left="-88" w:leftChars="-42"/>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88" w:leftChars="-42"/>
              <w:jc w:val="center"/>
              <w:rPr>
                <w:rFonts w:ascii="宋体"/>
              </w:rPr>
            </w:pPr>
          </w:p>
        </w:tc>
        <w:tc>
          <w:tcPr>
            <w:tcW w:w="1685" w:type="dxa"/>
            <w:vAlign w:val="center"/>
          </w:tcPr>
          <w:p>
            <w:pPr>
              <w:adjustRightInd w:val="0"/>
              <w:snapToGrid w:val="0"/>
              <w:ind w:left="-88" w:leftChars="-42"/>
              <w:jc w:val="center"/>
              <w:rPr>
                <w:rFonts w:ascii="宋体"/>
              </w:rPr>
            </w:pPr>
          </w:p>
        </w:tc>
        <w:tc>
          <w:tcPr>
            <w:tcW w:w="1948" w:type="dxa"/>
            <w:vAlign w:val="center"/>
          </w:tcPr>
          <w:p>
            <w:pPr>
              <w:adjustRightInd w:val="0"/>
              <w:snapToGrid w:val="0"/>
              <w:ind w:left="-88" w:leftChars="-42"/>
              <w:jc w:val="center"/>
              <w:rPr>
                <w:rFonts w:ascii="宋体"/>
              </w:rPr>
            </w:pPr>
          </w:p>
        </w:tc>
        <w:tc>
          <w:tcPr>
            <w:tcW w:w="2600" w:type="dxa"/>
            <w:vAlign w:val="center"/>
          </w:tcPr>
          <w:p>
            <w:pPr>
              <w:adjustRightInd w:val="0"/>
              <w:snapToGrid w:val="0"/>
              <w:ind w:left="-88" w:leftChars="-42"/>
              <w:jc w:val="center"/>
              <w:rPr>
                <w:rFonts w:ascii="宋体"/>
              </w:rPr>
            </w:pPr>
          </w:p>
        </w:tc>
        <w:tc>
          <w:tcPr>
            <w:tcW w:w="1517" w:type="dxa"/>
            <w:vAlign w:val="center"/>
          </w:tcPr>
          <w:p>
            <w:pPr>
              <w:adjustRightInd w:val="0"/>
              <w:snapToGrid w:val="0"/>
              <w:ind w:left="-88" w:leftChars="-42"/>
              <w:jc w:val="center"/>
              <w:rPr>
                <w:rFonts w:ascii="宋体"/>
              </w:rPr>
            </w:pPr>
          </w:p>
        </w:tc>
        <w:tc>
          <w:tcPr>
            <w:tcW w:w="1119" w:type="dxa"/>
            <w:vAlign w:val="center"/>
          </w:tcPr>
          <w:p>
            <w:pPr>
              <w:adjustRightInd w:val="0"/>
              <w:snapToGrid w:val="0"/>
              <w:ind w:left="-88" w:leftChars="-42"/>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88" w:leftChars="-42"/>
              <w:jc w:val="center"/>
              <w:rPr>
                <w:rFonts w:ascii="宋体"/>
              </w:rPr>
            </w:pPr>
          </w:p>
        </w:tc>
        <w:tc>
          <w:tcPr>
            <w:tcW w:w="1685" w:type="dxa"/>
            <w:vAlign w:val="center"/>
          </w:tcPr>
          <w:p>
            <w:pPr>
              <w:adjustRightInd w:val="0"/>
              <w:snapToGrid w:val="0"/>
              <w:ind w:left="-88" w:leftChars="-42"/>
              <w:jc w:val="center"/>
              <w:rPr>
                <w:rFonts w:ascii="宋体"/>
              </w:rPr>
            </w:pPr>
          </w:p>
        </w:tc>
        <w:tc>
          <w:tcPr>
            <w:tcW w:w="1948" w:type="dxa"/>
            <w:vAlign w:val="center"/>
          </w:tcPr>
          <w:p>
            <w:pPr>
              <w:adjustRightInd w:val="0"/>
              <w:snapToGrid w:val="0"/>
              <w:ind w:left="-88" w:leftChars="-42"/>
              <w:jc w:val="center"/>
              <w:rPr>
                <w:rFonts w:ascii="宋体"/>
              </w:rPr>
            </w:pPr>
          </w:p>
        </w:tc>
        <w:tc>
          <w:tcPr>
            <w:tcW w:w="2600" w:type="dxa"/>
            <w:vAlign w:val="center"/>
          </w:tcPr>
          <w:p>
            <w:pPr>
              <w:adjustRightInd w:val="0"/>
              <w:snapToGrid w:val="0"/>
              <w:ind w:left="-88" w:leftChars="-42"/>
              <w:jc w:val="center"/>
              <w:rPr>
                <w:rFonts w:ascii="宋体"/>
              </w:rPr>
            </w:pPr>
          </w:p>
        </w:tc>
        <w:tc>
          <w:tcPr>
            <w:tcW w:w="1517" w:type="dxa"/>
            <w:vAlign w:val="center"/>
          </w:tcPr>
          <w:p>
            <w:pPr>
              <w:adjustRightInd w:val="0"/>
              <w:snapToGrid w:val="0"/>
              <w:ind w:left="-88" w:leftChars="-42"/>
              <w:jc w:val="center"/>
              <w:rPr>
                <w:rFonts w:ascii="宋体"/>
              </w:rPr>
            </w:pPr>
          </w:p>
        </w:tc>
        <w:tc>
          <w:tcPr>
            <w:tcW w:w="1119" w:type="dxa"/>
            <w:vAlign w:val="center"/>
          </w:tcPr>
          <w:p>
            <w:pPr>
              <w:adjustRightInd w:val="0"/>
              <w:snapToGrid w:val="0"/>
              <w:ind w:left="-88" w:leftChars="-42"/>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88" w:leftChars="-42"/>
              <w:jc w:val="center"/>
              <w:rPr>
                <w:rFonts w:ascii="宋体"/>
              </w:rPr>
            </w:pPr>
          </w:p>
        </w:tc>
        <w:tc>
          <w:tcPr>
            <w:tcW w:w="1685" w:type="dxa"/>
            <w:vAlign w:val="center"/>
          </w:tcPr>
          <w:p>
            <w:pPr>
              <w:adjustRightInd w:val="0"/>
              <w:snapToGrid w:val="0"/>
              <w:ind w:left="-88" w:leftChars="-42"/>
              <w:jc w:val="center"/>
              <w:rPr>
                <w:rFonts w:ascii="宋体"/>
              </w:rPr>
            </w:pPr>
          </w:p>
        </w:tc>
        <w:tc>
          <w:tcPr>
            <w:tcW w:w="1948" w:type="dxa"/>
            <w:vAlign w:val="center"/>
          </w:tcPr>
          <w:p>
            <w:pPr>
              <w:adjustRightInd w:val="0"/>
              <w:snapToGrid w:val="0"/>
              <w:ind w:left="-88" w:leftChars="-42"/>
              <w:jc w:val="center"/>
              <w:rPr>
                <w:rFonts w:ascii="宋体"/>
              </w:rPr>
            </w:pPr>
          </w:p>
        </w:tc>
        <w:tc>
          <w:tcPr>
            <w:tcW w:w="2600" w:type="dxa"/>
            <w:vAlign w:val="center"/>
          </w:tcPr>
          <w:p>
            <w:pPr>
              <w:adjustRightInd w:val="0"/>
              <w:snapToGrid w:val="0"/>
              <w:ind w:left="-88" w:leftChars="-42"/>
              <w:jc w:val="center"/>
              <w:rPr>
                <w:rFonts w:ascii="宋体"/>
              </w:rPr>
            </w:pPr>
          </w:p>
        </w:tc>
        <w:tc>
          <w:tcPr>
            <w:tcW w:w="1517" w:type="dxa"/>
            <w:vAlign w:val="center"/>
          </w:tcPr>
          <w:p>
            <w:pPr>
              <w:adjustRightInd w:val="0"/>
              <w:snapToGrid w:val="0"/>
              <w:ind w:left="-88" w:leftChars="-42"/>
              <w:jc w:val="center"/>
              <w:rPr>
                <w:rFonts w:ascii="宋体"/>
              </w:rPr>
            </w:pPr>
          </w:p>
        </w:tc>
        <w:tc>
          <w:tcPr>
            <w:tcW w:w="1119" w:type="dxa"/>
            <w:vAlign w:val="center"/>
          </w:tcPr>
          <w:p>
            <w:pPr>
              <w:adjustRightInd w:val="0"/>
              <w:snapToGrid w:val="0"/>
              <w:ind w:left="-88" w:leftChars="-42"/>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Borders>
              <w:bottom w:val="double" w:color="auto" w:sz="4" w:space="0"/>
            </w:tcBorders>
          </w:tcPr>
          <w:p>
            <w:pPr>
              <w:adjustRightInd w:val="0"/>
              <w:snapToGrid w:val="0"/>
              <w:ind w:left="-88" w:leftChars="-42"/>
              <w:jc w:val="center"/>
              <w:rPr>
                <w:rFonts w:ascii="宋体"/>
              </w:rPr>
            </w:pPr>
          </w:p>
        </w:tc>
        <w:tc>
          <w:tcPr>
            <w:tcW w:w="1685" w:type="dxa"/>
            <w:tcBorders>
              <w:bottom w:val="double" w:color="auto" w:sz="4" w:space="0"/>
            </w:tcBorders>
            <w:vAlign w:val="center"/>
          </w:tcPr>
          <w:p>
            <w:pPr>
              <w:adjustRightInd w:val="0"/>
              <w:snapToGrid w:val="0"/>
              <w:ind w:left="-88" w:leftChars="-42"/>
              <w:jc w:val="center"/>
              <w:rPr>
                <w:rFonts w:ascii="宋体"/>
              </w:rPr>
            </w:pPr>
          </w:p>
        </w:tc>
        <w:tc>
          <w:tcPr>
            <w:tcW w:w="1948" w:type="dxa"/>
            <w:tcBorders>
              <w:bottom w:val="double" w:color="auto" w:sz="4" w:space="0"/>
            </w:tcBorders>
            <w:vAlign w:val="center"/>
          </w:tcPr>
          <w:p>
            <w:pPr>
              <w:adjustRightInd w:val="0"/>
              <w:snapToGrid w:val="0"/>
              <w:ind w:left="-88" w:leftChars="-42"/>
              <w:jc w:val="center"/>
              <w:rPr>
                <w:rFonts w:ascii="宋体"/>
              </w:rPr>
            </w:pPr>
          </w:p>
        </w:tc>
        <w:tc>
          <w:tcPr>
            <w:tcW w:w="2600" w:type="dxa"/>
            <w:tcBorders>
              <w:bottom w:val="double" w:color="auto" w:sz="4" w:space="0"/>
            </w:tcBorders>
            <w:vAlign w:val="center"/>
          </w:tcPr>
          <w:p>
            <w:pPr>
              <w:adjustRightInd w:val="0"/>
              <w:snapToGrid w:val="0"/>
              <w:ind w:left="-88" w:leftChars="-42"/>
              <w:jc w:val="center"/>
              <w:rPr>
                <w:rFonts w:ascii="宋体"/>
              </w:rPr>
            </w:pPr>
          </w:p>
        </w:tc>
        <w:tc>
          <w:tcPr>
            <w:tcW w:w="1517" w:type="dxa"/>
            <w:tcBorders>
              <w:bottom w:val="double" w:color="auto" w:sz="4" w:space="0"/>
            </w:tcBorders>
            <w:vAlign w:val="center"/>
          </w:tcPr>
          <w:p>
            <w:pPr>
              <w:adjustRightInd w:val="0"/>
              <w:snapToGrid w:val="0"/>
              <w:ind w:left="-88" w:leftChars="-42"/>
              <w:jc w:val="center"/>
              <w:rPr>
                <w:rFonts w:ascii="宋体"/>
              </w:rPr>
            </w:pPr>
          </w:p>
        </w:tc>
        <w:tc>
          <w:tcPr>
            <w:tcW w:w="1119" w:type="dxa"/>
            <w:tcBorders>
              <w:bottom w:val="double" w:color="auto" w:sz="4" w:space="0"/>
            </w:tcBorders>
            <w:vAlign w:val="center"/>
          </w:tcPr>
          <w:p>
            <w:pPr>
              <w:adjustRightInd w:val="0"/>
              <w:snapToGrid w:val="0"/>
              <w:ind w:left="-88" w:leftChars="-42"/>
              <w:jc w:val="center"/>
              <w:rPr>
                <w:rFonts w:ascii="宋体"/>
              </w:rPr>
            </w:pPr>
          </w:p>
        </w:tc>
      </w:tr>
    </w:tbl>
    <w:p>
      <w:pPr>
        <w:adjustRightInd w:val="0"/>
        <w:snapToGrid w:val="0"/>
        <w:ind w:left="-88" w:leftChars="-42"/>
        <w:rPr>
          <w:rFonts w:ascii="仿宋_GB2312" w:hAnsi="宋体" w:eastAsia="仿宋_GB2312"/>
          <w:szCs w:val="21"/>
        </w:rPr>
      </w:pPr>
    </w:p>
    <w:p>
      <w:pPr>
        <w:adjustRightInd w:val="0"/>
        <w:snapToGrid w:val="0"/>
        <w:ind w:left="-88" w:leftChars="-42"/>
        <w:rPr>
          <w:rFonts w:ascii="宋体" w:hAnsi="宋体"/>
          <w:szCs w:val="21"/>
        </w:rPr>
      </w:pPr>
    </w:p>
    <w:p>
      <w:pPr>
        <w:adjustRightInd w:val="0"/>
        <w:snapToGrid w:val="0"/>
        <w:ind w:left="-88" w:leftChars="-42"/>
        <w:rPr>
          <w:rFonts w:ascii="宋体" w:hAnsi="宋体"/>
          <w:szCs w:val="21"/>
        </w:rPr>
      </w:pPr>
    </w:p>
    <w:p>
      <w:pPr>
        <w:adjustRightInd w:val="0"/>
        <w:snapToGrid w:val="0"/>
        <w:spacing w:before="50" w:line="360" w:lineRule="auto"/>
        <w:ind w:firstLine="210" w:firstLineChars="100"/>
        <w:rPr>
          <w:rFonts w:ascii="宋体" w:hAnsi="宋体"/>
          <w:szCs w:val="21"/>
        </w:rPr>
      </w:pPr>
      <w:r>
        <w:rPr>
          <w:rFonts w:hint="eastAsia" w:ascii="宋体" w:hAnsi="宋体"/>
          <w:szCs w:val="21"/>
        </w:rPr>
        <w:t>投标人名称（单位章）：</w:t>
      </w:r>
    </w:p>
    <w:p>
      <w:pPr>
        <w:adjustRightInd w:val="0"/>
        <w:snapToGrid w:val="0"/>
        <w:spacing w:before="50" w:line="360" w:lineRule="auto"/>
        <w:ind w:firstLine="210" w:firstLineChars="100"/>
        <w:rPr>
          <w:rFonts w:ascii="宋体" w:hAnsi="宋体"/>
          <w:szCs w:val="21"/>
        </w:rPr>
      </w:pPr>
      <w:r>
        <w:rPr>
          <w:rFonts w:hint="eastAsia" w:ascii="宋体" w:hAnsi="宋体"/>
          <w:szCs w:val="21"/>
        </w:rPr>
        <w:t>法定代表人或其授权的代理人(签字)：</w:t>
      </w:r>
      <w:r>
        <w:rPr>
          <w:rFonts w:hint="eastAsia" w:ascii="宋体" w:hAnsi="宋体"/>
          <w:szCs w:val="21"/>
          <w:u w:val="single"/>
        </w:rPr>
        <w:t xml:space="preserve">                   </w:t>
      </w:r>
    </w:p>
    <w:p>
      <w:pPr>
        <w:ind w:firstLine="210" w:firstLineChars="100"/>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Pr>
        <w:ind w:firstLine="210" w:firstLineChars="100"/>
      </w:pPr>
    </w:p>
    <w:p/>
    <w:p>
      <w:pPr>
        <w:pStyle w:val="4"/>
        <w:rPr>
          <w:rFonts w:ascii="黑体" w:hAnsi="黑体" w:eastAsia="黑体" w:cs="仿宋"/>
          <w:b w:val="0"/>
          <w:sz w:val="28"/>
          <w:szCs w:val="21"/>
        </w:rPr>
      </w:pPr>
      <w:r>
        <w:rPr>
          <w:rFonts w:hint="eastAsia" w:ascii="黑体" w:hAnsi="黑体" w:eastAsia="黑体" w:cs="仿宋"/>
          <w:b w:val="0"/>
          <w:sz w:val="28"/>
          <w:szCs w:val="21"/>
        </w:rPr>
        <w:t xml:space="preserve"> </w:t>
      </w:r>
      <w:bookmarkStart w:id="230" w:name="_Toc536603252"/>
      <w:r>
        <w:rPr>
          <w:rFonts w:hint="eastAsia" w:ascii="黑体" w:hAnsi="黑体" w:eastAsia="黑体" w:cs="仿宋"/>
          <w:sz w:val="28"/>
          <w:szCs w:val="21"/>
        </w:rPr>
        <w:t>五、投标保证金</w:t>
      </w:r>
      <w:bookmarkEnd w:id="230"/>
    </w:p>
    <w:p>
      <w:pPr>
        <w:pStyle w:val="22"/>
        <w:adjustRightInd w:val="0"/>
        <w:snapToGrid w:val="0"/>
        <w:spacing w:beforeLines="50" w:line="360" w:lineRule="auto"/>
        <w:rPr>
          <w:rFonts w:hAnsi="宋体"/>
        </w:rPr>
      </w:pPr>
      <w:r>
        <w:rPr>
          <w:rFonts w:hint="eastAsia" w:hAnsi="宋体"/>
        </w:rPr>
        <w:t xml:space="preserve"> </w:t>
      </w:r>
    </w:p>
    <w:p>
      <w:pPr>
        <w:pStyle w:val="22"/>
        <w:adjustRightInd w:val="0"/>
        <w:snapToGrid w:val="0"/>
        <w:spacing w:beforeLines="50" w:line="360" w:lineRule="auto"/>
        <w:rPr>
          <w:rFonts w:hAnsi="宋体"/>
        </w:rPr>
      </w:pPr>
    </w:p>
    <w:p>
      <w:pPr>
        <w:pStyle w:val="22"/>
        <w:adjustRightInd w:val="0"/>
        <w:snapToGrid w:val="0"/>
        <w:spacing w:beforeLines="50" w:line="360" w:lineRule="auto"/>
        <w:rPr>
          <w:rFonts w:hAnsi="宋体"/>
        </w:rPr>
      </w:pPr>
    </w:p>
    <w:p>
      <w:pPr>
        <w:pStyle w:val="22"/>
        <w:adjustRightInd w:val="0"/>
        <w:snapToGrid w:val="0"/>
        <w:spacing w:beforeLines="50" w:line="360" w:lineRule="auto"/>
        <w:rPr>
          <w:rFonts w:hAnsi="宋体"/>
        </w:rPr>
      </w:pPr>
      <w:r>
        <w:rPr>
          <w:rFonts w:hint="eastAsia" w:hAnsi="宋体"/>
          <w:b/>
        </w:rPr>
        <w:t>备注</w:t>
      </w:r>
      <w:r>
        <w:rPr>
          <w:rFonts w:hint="eastAsia" w:hAnsi="宋体"/>
        </w:rPr>
        <w:t>：</w:t>
      </w:r>
      <w:r>
        <w:rPr>
          <w:rFonts w:hint="eastAsia" w:ascii="仿宋" w:hAnsi="仿宋" w:eastAsia="仿宋" w:cs="仿宋"/>
          <w:sz w:val="24"/>
          <w:szCs w:val="24"/>
        </w:rPr>
        <w:t>提供：付款凭证复印件或金融机构、担保机构出具的保函原件。</w:t>
      </w: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22"/>
        <w:adjustRightInd w:val="0"/>
        <w:snapToGrid w:val="0"/>
        <w:spacing w:beforeLines="50" w:line="360" w:lineRule="auto"/>
        <w:rPr>
          <w:rFonts w:ascii="仿宋_GB2312" w:hAnsi="宋体" w:eastAsia="仿宋_GB2312"/>
          <w:b/>
        </w:rPr>
      </w:pPr>
    </w:p>
    <w:p>
      <w:pPr>
        <w:pStyle w:val="4"/>
        <w:rPr>
          <w:rFonts w:ascii="黑体" w:hAnsi="黑体" w:eastAsia="黑体" w:cs="仿宋"/>
          <w:sz w:val="28"/>
          <w:szCs w:val="21"/>
        </w:rPr>
      </w:pPr>
      <w:r>
        <w:rPr>
          <w:rFonts w:ascii="黑体" w:hAnsi="黑体" w:eastAsia="黑体" w:cs="仿宋"/>
          <w:sz w:val="28"/>
          <w:szCs w:val="21"/>
        </w:rPr>
        <w:t xml:space="preserve"> </w:t>
      </w:r>
      <w:bookmarkStart w:id="231" w:name="_Toc536603253"/>
      <w:r>
        <w:rPr>
          <w:rFonts w:hint="eastAsia" w:ascii="黑体" w:hAnsi="黑体" w:eastAsia="黑体" w:cs="仿宋"/>
          <w:sz w:val="28"/>
          <w:szCs w:val="21"/>
        </w:rPr>
        <w:t>六（一）、投标人具备投标资格的证明文件</w:t>
      </w:r>
      <w:bookmarkEnd w:id="231"/>
      <w:bookmarkStart w:id="232" w:name="_Toc294206743"/>
      <w:bookmarkStart w:id="233" w:name="_Toc294186060"/>
    </w:p>
    <w:p>
      <w:pPr>
        <w:pStyle w:val="22"/>
        <w:ind w:left="1935" w:hanging="1095"/>
        <w:jc w:val="center"/>
        <w:rPr>
          <w:rFonts w:hAnsi="宋体"/>
          <w:b/>
          <w:bCs/>
          <w:sz w:val="32"/>
          <w:szCs w:val="24"/>
        </w:rPr>
      </w:pPr>
      <w:r>
        <w:rPr>
          <w:rFonts w:hint="eastAsia" w:hAnsi="宋体"/>
          <w:b/>
          <w:bCs/>
          <w:sz w:val="32"/>
          <w:szCs w:val="24"/>
        </w:rPr>
        <w:t>填写须知</w:t>
      </w:r>
    </w:p>
    <w:p>
      <w:pPr>
        <w:adjustRightInd w:val="0"/>
        <w:snapToGrid w:val="0"/>
        <w:spacing w:beforeLines="50" w:line="360" w:lineRule="auto"/>
        <w:rPr>
          <w:rFonts w:ascii="宋体" w:hAnsi="宋体"/>
          <w:b/>
          <w:bCs/>
          <w:szCs w:val="21"/>
        </w:rPr>
      </w:pPr>
      <w:bookmarkStart w:id="234" w:name="_Toc10781_WPSOffice_Level1"/>
      <w:bookmarkStart w:id="235" w:name="_Toc29075_WPSOffice_Level1"/>
      <w:bookmarkStart w:id="236" w:name="_Toc28042_WPSOffice_Level2"/>
      <w:r>
        <w:rPr>
          <w:rFonts w:hint="eastAsia" w:ascii="宋体" w:hAnsi="宋体"/>
          <w:b/>
          <w:bCs/>
          <w:szCs w:val="21"/>
        </w:rPr>
        <w:t>一、</w:t>
      </w:r>
      <w:r>
        <w:rPr>
          <w:rFonts w:hint="eastAsia" w:ascii="宋体" w:hAnsi="宋体"/>
          <w:b/>
          <w:szCs w:val="21"/>
        </w:rPr>
        <w:t>投标人</w:t>
      </w:r>
      <w:r>
        <w:rPr>
          <w:rFonts w:hint="eastAsia" w:ascii="宋体" w:hAnsi="宋体"/>
          <w:b/>
          <w:bCs/>
          <w:szCs w:val="21"/>
        </w:rPr>
        <w:t>有下列情形之一的，视为无效投标：</w:t>
      </w:r>
      <w:bookmarkEnd w:id="234"/>
      <w:bookmarkEnd w:id="235"/>
      <w:bookmarkEnd w:id="236"/>
    </w:p>
    <w:p>
      <w:pPr>
        <w:tabs>
          <w:tab w:val="left" w:pos="4725"/>
        </w:tabs>
        <w:adjustRightInd w:val="0"/>
        <w:snapToGrid w:val="0"/>
        <w:spacing w:beforeLines="50" w:line="360" w:lineRule="auto"/>
        <w:ind w:firstLine="420" w:firstLineChars="200"/>
        <w:rPr>
          <w:rFonts w:ascii="宋体" w:hAnsi="宋体"/>
          <w:bCs/>
          <w:szCs w:val="21"/>
        </w:rPr>
      </w:pPr>
      <w:r>
        <w:rPr>
          <w:rFonts w:hint="eastAsia" w:ascii="宋体" w:hAnsi="宋体"/>
          <w:bCs/>
          <w:szCs w:val="21"/>
        </w:rPr>
        <w:t>（1）未按照招标文件要求提交资格证明文件的；</w:t>
      </w:r>
    </w:p>
    <w:p>
      <w:pPr>
        <w:tabs>
          <w:tab w:val="left" w:pos="4725"/>
        </w:tabs>
        <w:adjustRightInd w:val="0"/>
        <w:snapToGrid w:val="0"/>
        <w:spacing w:beforeLines="50" w:line="360" w:lineRule="auto"/>
        <w:ind w:firstLine="420" w:firstLineChars="200"/>
        <w:rPr>
          <w:rFonts w:ascii="宋体" w:hAnsi="宋体"/>
          <w:bCs/>
          <w:szCs w:val="21"/>
        </w:rPr>
      </w:pPr>
      <w:r>
        <w:rPr>
          <w:rFonts w:hint="eastAsia" w:ascii="宋体" w:hAnsi="宋体"/>
          <w:bCs/>
          <w:szCs w:val="21"/>
        </w:rPr>
        <w:t>（2）提供的资格证明文件不符合招标文件要求或提供虚假资格证明文件的；</w:t>
      </w:r>
    </w:p>
    <w:p>
      <w:pPr>
        <w:tabs>
          <w:tab w:val="left" w:pos="4725"/>
        </w:tabs>
        <w:adjustRightInd w:val="0"/>
        <w:snapToGrid w:val="0"/>
        <w:spacing w:beforeLines="50" w:line="360" w:lineRule="auto"/>
        <w:ind w:firstLine="420" w:firstLineChars="200"/>
        <w:rPr>
          <w:rFonts w:ascii="宋体" w:hAnsi="宋体"/>
          <w:bCs/>
          <w:szCs w:val="21"/>
        </w:rPr>
      </w:pPr>
      <w:r>
        <w:rPr>
          <w:rFonts w:hint="eastAsia" w:ascii="宋体" w:hAnsi="宋体"/>
          <w:bCs/>
          <w:szCs w:val="21"/>
        </w:rPr>
        <w:t>（3）资格证明文件过了有效期的或未按有关规定年审合格的；</w:t>
      </w:r>
    </w:p>
    <w:p>
      <w:pPr>
        <w:tabs>
          <w:tab w:val="left" w:pos="4725"/>
        </w:tabs>
        <w:adjustRightInd w:val="0"/>
        <w:snapToGrid w:val="0"/>
        <w:spacing w:beforeLines="50" w:line="360" w:lineRule="auto"/>
        <w:ind w:firstLine="420" w:firstLineChars="200"/>
        <w:rPr>
          <w:rFonts w:ascii="宋体" w:hAnsi="宋体"/>
          <w:bCs/>
          <w:szCs w:val="21"/>
        </w:rPr>
      </w:pPr>
      <w:r>
        <w:rPr>
          <w:rFonts w:hint="eastAsia" w:ascii="宋体" w:hAnsi="宋体"/>
          <w:bCs/>
          <w:szCs w:val="21"/>
        </w:rPr>
        <w:t>（4）资格证明文件未按照招标文件要求加盖供应商单位章、签字的</w:t>
      </w:r>
      <w:r>
        <w:rPr>
          <w:rFonts w:hint="eastAsia" w:ascii="宋体" w:hAnsi="宋体" w:cs="宋体"/>
          <w:szCs w:val="21"/>
        </w:rPr>
        <w:t>。</w:t>
      </w:r>
    </w:p>
    <w:p>
      <w:pPr>
        <w:tabs>
          <w:tab w:val="left" w:pos="4725"/>
        </w:tabs>
        <w:adjustRightInd w:val="0"/>
        <w:snapToGrid w:val="0"/>
        <w:spacing w:beforeLines="50" w:line="360" w:lineRule="auto"/>
        <w:rPr>
          <w:rFonts w:ascii="宋体" w:hAnsi="宋体"/>
          <w:b/>
          <w:bCs/>
          <w:szCs w:val="21"/>
        </w:rPr>
      </w:pPr>
      <w:bookmarkStart w:id="237" w:name="_Toc10274_WPSOffice_Level1"/>
      <w:bookmarkStart w:id="238" w:name="_Toc15991_WPSOffice_Level1"/>
      <w:bookmarkStart w:id="239" w:name="_Toc18790_WPSOffice_Level2"/>
      <w:r>
        <w:rPr>
          <w:rFonts w:hint="eastAsia" w:ascii="宋体" w:hAnsi="宋体"/>
          <w:b/>
          <w:bCs/>
          <w:szCs w:val="21"/>
        </w:rPr>
        <w:t>二、</w:t>
      </w:r>
      <w:r>
        <w:rPr>
          <w:rFonts w:hint="eastAsia" w:ascii="宋体" w:hAnsi="宋体"/>
          <w:b/>
          <w:szCs w:val="21"/>
        </w:rPr>
        <w:t>投标人</w:t>
      </w:r>
      <w:r>
        <w:rPr>
          <w:rFonts w:hint="eastAsia" w:ascii="宋体" w:hAnsi="宋体"/>
          <w:b/>
          <w:bCs/>
          <w:szCs w:val="21"/>
        </w:rPr>
        <w:t>应提供的证明材料</w:t>
      </w:r>
      <w:bookmarkEnd w:id="237"/>
      <w:bookmarkEnd w:id="238"/>
      <w:bookmarkEnd w:id="239"/>
    </w:p>
    <w:p>
      <w:pPr>
        <w:tabs>
          <w:tab w:val="left" w:pos="4725"/>
        </w:tabs>
        <w:adjustRightInd w:val="0"/>
        <w:snapToGrid w:val="0"/>
        <w:spacing w:beforeLines="50" w:line="360" w:lineRule="auto"/>
        <w:ind w:firstLine="420" w:firstLineChars="200"/>
        <w:rPr>
          <w:rFonts w:ascii="宋体" w:hAnsi="宋体"/>
          <w:bCs/>
          <w:szCs w:val="21"/>
        </w:rPr>
      </w:pPr>
      <w:r>
        <w:rPr>
          <w:rFonts w:hint="eastAsia" w:ascii="宋体" w:hAnsi="宋体"/>
          <w:szCs w:val="21"/>
        </w:rPr>
        <w:t>投标人</w:t>
      </w:r>
      <w:r>
        <w:rPr>
          <w:rFonts w:hint="eastAsia" w:ascii="宋体" w:hAnsi="宋体"/>
          <w:bCs/>
          <w:szCs w:val="21"/>
        </w:rPr>
        <w:t>应按第一章“投标须知”第3.1</w:t>
      </w:r>
      <w:r>
        <w:rPr>
          <w:rFonts w:hint="eastAsia" w:ascii="宋体" w:hAnsi="宋体" w:cs="宋体"/>
          <w:kern w:val="0"/>
          <w:szCs w:val="21"/>
          <w:lang w:val="zh-CN"/>
        </w:rPr>
        <w:t>款</w:t>
      </w:r>
      <w:r>
        <w:rPr>
          <w:rFonts w:hint="eastAsia" w:ascii="宋体" w:hAnsi="宋体"/>
          <w:bCs/>
          <w:szCs w:val="21"/>
        </w:rPr>
        <w:t>要求，提供下列证明材料，以满足第一章“投标须知”第3.1</w:t>
      </w:r>
      <w:r>
        <w:rPr>
          <w:rFonts w:hint="eastAsia" w:ascii="宋体" w:hAnsi="宋体" w:cs="宋体"/>
          <w:kern w:val="0"/>
          <w:szCs w:val="21"/>
          <w:lang w:val="zh-CN"/>
        </w:rPr>
        <w:t>款</w:t>
      </w:r>
      <w:r>
        <w:rPr>
          <w:rFonts w:hint="eastAsia" w:ascii="宋体" w:hAnsi="宋体"/>
          <w:bCs/>
          <w:szCs w:val="21"/>
        </w:rPr>
        <w:t>规定的基本资格条件和特定资格条件要求：</w:t>
      </w:r>
      <w:r>
        <w:rPr>
          <w:rFonts w:hint="eastAsia" w:ascii="宋体" w:hAnsi="宋体"/>
          <w:bCs/>
          <w:szCs w:val="21"/>
        </w:rPr>
        <w:tab/>
      </w:r>
    </w:p>
    <w:p>
      <w:pPr>
        <w:adjustRightInd w:val="0"/>
        <w:snapToGrid w:val="0"/>
        <w:spacing w:beforeLines="50" w:line="360" w:lineRule="auto"/>
        <w:ind w:firstLine="420" w:firstLineChars="200"/>
        <w:rPr>
          <w:rFonts w:ascii="宋体" w:hAnsi="宋体"/>
          <w:szCs w:val="21"/>
        </w:rPr>
      </w:pPr>
      <w:bookmarkStart w:id="240" w:name="_Toc14647_WPSOffice_Level3"/>
      <w:bookmarkStart w:id="241" w:name="_Toc12198_WPSOffice_Level2"/>
      <w:bookmarkStart w:id="242" w:name="_Toc952_WPSOffice_Level2"/>
      <w:r>
        <w:rPr>
          <w:rFonts w:hint="eastAsia" w:ascii="宋体" w:hAnsi="宋体"/>
          <w:bCs/>
          <w:szCs w:val="21"/>
        </w:rPr>
        <w:t>附</w:t>
      </w:r>
      <w:r>
        <w:rPr>
          <w:rFonts w:hint="eastAsia" w:ascii="宋体" w:hAnsi="宋体"/>
          <w:szCs w:val="21"/>
        </w:rPr>
        <w:t>1、</w:t>
      </w:r>
      <w:r>
        <w:rPr>
          <w:rFonts w:hint="eastAsia" w:ascii="宋体" w:hAnsi="宋体"/>
          <w:kern w:val="0"/>
          <w:szCs w:val="21"/>
        </w:rPr>
        <w:t>法定代表人身份证明或附有法定代表人身份证明的授权委托书</w:t>
      </w:r>
      <w:bookmarkEnd w:id="240"/>
      <w:bookmarkEnd w:id="241"/>
      <w:bookmarkEnd w:id="242"/>
    </w:p>
    <w:p>
      <w:pPr>
        <w:adjustRightInd w:val="0"/>
        <w:snapToGrid w:val="0"/>
        <w:spacing w:beforeLines="50" w:line="360" w:lineRule="auto"/>
        <w:ind w:firstLine="420" w:firstLineChars="200"/>
        <w:rPr>
          <w:rFonts w:ascii="宋体" w:hAnsi="宋体"/>
          <w:szCs w:val="21"/>
        </w:rPr>
      </w:pPr>
      <w:bookmarkStart w:id="243" w:name="_Toc13276_WPSOffice_Level2"/>
      <w:bookmarkStart w:id="244" w:name="_Toc19665_WPSOffice_Level2"/>
      <w:bookmarkStart w:id="245" w:name="_Toc22537_WPSOffice_Level3"/>
      <w:r>
        <w:rPr>
          <w:rFonts w:hint="eastAsia" w:ascii="宋体" w:hAnsi="宋体"/>
          <w:bCs/>
          <w:szCs w:val="21"/>
        </w:rPr>
        <w:t>附</w:t>
      </w:r>
      <w:r>
        <w:rPr>
          <w:rFonts w:hint="eastAsia" w:ascii="宋体" w:hAnsi="宋体"/>
          <w:szCs w:val="21"/>
        </w:rPr>
        <w:t>2、法人、或者其他组织的营业执照等主体资格证明文件，自然人的身份证明</w:t>
      </w:r>
      <w:bookmarkEnd w:id="243"/>
      <w:bookmarkEnd w:id="244"/>
      <w:bookmarkEnd w:id="245"/>
    </w:p>
    <w:p>
      <w:pPr>
        <w:adjustRightInd w:val="0"/>
        <w:snapToGrid w:val="0"/>
        <w:spacing w:beforeLines="50" w:line="360" w:lineRule="auto"/>
        <w:ind w:firstLine="420" w:firstLineChars="200"/>
        <w:rPr>
          <w:rFonts w:ascii="宋体" w:hAnsi="宋体"/>
          <w:szCs w:val="21"/>
        </w:rPr>
      </w:pPr>
      <w:bookmarkStart w:id="246" w:name="_Toc1904_WPSOffice_Level3"/>
      <w:bookmarkStart w:id="247" w:name="_Toc28895_WPSOffice_Level2"/>
      <w:bookmarkStart w:id="248" w:name="_Toc22695_WPSOffice_Level2"/>
      <w:r>
        <w:rPr>
          <w:rFonts w:hint="eastAsia" w:ascii="宋体" w:hAnsi="宋体"/>
          <w:bCs/>
          <w:szCs w:val="21"/>
        </w:rPr>
        <w:t>附3、</w:t>
      </w:r>
      <w:r>
        <w:rPr>
          <w:rFonts w:hint="eastAsia" w:ascii="宋体" w:hAnsi="宋体"/>
          <w:szCs w:val="21"/>
        </w:rPr>
        <w:t>财务状况报告、依法缴纳税收和社会保险费的相关证明</w:t>
      </w:r>
      <w:bookmarkEnd w:id="246"/>
      <w:bookmarkEnd w:id="247"/>
      <w:bookmarkEnd w:id="248"/>
    </w:p>
    <w:p>
      <w:pPr>
        <w:adjustRightInd w:val="0"/>
        <w:snapToGrid w:val="0"/>
        <w:spacing w:beforeLines="50" w:line="360" w:lineRule="auto"/>
        <w:ind w:firstLine="420" w:firstLineChars="200"/>
        <w:rPr>
          <w:rFonts w:ascii="宋体" w:hAnsi="宋体"/>
          <w:szCs w:val="21"/>
        </w:rPr>
      </w:pPr>
      <w:bookmarkStart w:id="249" w:name="_Toc27603_WPSOffice_Level2"/>
      <w:bookmarkStart w:id="250" w:name="_Toc4498_WPSOffice_Level3"/>
      <w:bookmarkStart w:id="251" w:name="_Toc3578_WPSOffice_Level2"/>
      <w:r>
        <w:rPr>
          <w:rFonts w:hint="eastAsia" w:ascii="宋体" w:hAnsi="宋体"/>
          <w:bCs/>
          <w:szCs w:val="21"/>
        </w:rPr>
        <w:t>附4、</w:t>
      </w:r>
      <w:r>
        <w:rPr>
          <w:rFonts w:hint="eastAsia" w:ascii="宋体" w:hAnsi="宋体"/>
          <w:szCs w:val="21"/>
        </w:rPr>
        <w:t>参加采购活动前三年内在经营活动中没有重大违法记录的书面声明</w:t>
      </w:r>
      <w:bookmarkEnd w:id="249"/>
      <w:bookmarkEnd w:id="250"/>
      <w:bookmarkEnd w:id="251"/>
    </w:p>
    <w:p>
      <w:pPr>
        <w:adjustRightInd w:val="0"/>
        <w:snapToGrid w:val="0"/>
        <w:spacing w:beforeLines="50" w:line="360" w:lineRule="auto"/>
        <w:ind w:firstLine="420" w:firstLineChars="200"/>
        <w:rPr>
          <w:rFonts w:ascii="宋体" w:hAnsi="宋体"/>
          <w:bCs/>
          <w:szCs w:val="21"/>
        </w:rPr>
      </w:pPr>
      <w:bookmarkStart w:id="252" w:name="_Toc13917_WPSOffice_Level3"/>
      <w:bookmarkStart w:id="253" w:name="_Toc2586_WPSOffice_Level2"/>
      <w:bookmarkStart w:id="254" w:name="_Toc26377_WPSOffice_Level2"/>
      <w:r>
        <w:rPr>
          <w:rFonts w:hint="eastAsia" w:ascii="宋体" w:hAnsi="宋体"/>
          <w:bCs/>
          <w:szCs w:val="21"/>
        </w:rPr>
        <w:t>附5、</w:t>
      </w:r>
      <w:r>
        <w:rPr>
          <w:rFonts w:hint="eastAsia" w:ascii="宋体" w:hAnsi="宋体"/>
          <w:szCs w:val="21"/>
        </w:rPr>
        <w:t>法律、行政法规规定的其他资格条件</w:t>
      </w:r>
      <w:r>
        <w:rPr>
          <w:rFonts w:hint="eastAsia" w:ascii="宋体" w:hAnsi="宋体"/>
          <w:bCs/>
          <w:szCs w:val="21"/>
        </w:rPr>
        <w:t>证明文件</w:t>
      </w:r>
      <w:bookmarkEnd w:id="252"/>
      <w:bookmarkEnd w:id="253"/>
      <w:bookmarkEnd w:id="254"/>
    </w:p>
    <w:p>
      <w:pPr>
        <w:adjustRightInd w:val="0"/>
        <w:snapToGrid w:val="0"/>
        <w:spacing w:beforeLines="50" w:line="360" w:lineRule="auto"/>
        <w:ind w:firstLine="420" w:firstLineChars="200"/>
        <w:rPr>
          <w:rFonts w:ascii="宋体" w:hAnsi="宋体" w:cs="宋体"/>
          <w:bCs/>
          <w:spacing w:val="6"/>
          <w:kern w:val="0"/>
          <w:szCs w:val="21"/>
        </w:rPr>
      </w:pPr>
      <w:bookmarkStart w:id="255" w:name="_Toc9771_WPSOffice_Level2"/>
      <w:bookmarkStart w:id="256" w:name="_Toc21138_WPSOffice_Level2"/>
      <w:bookmarkStart w:id="257" w:name="_Toc6618_WPSOffice_Level3"/>
      <w:r>
        <w:rPr>
          <w:rFonts w:hint="eastAsia" w:ascii="宋体" w:hAnsi="宋体"/>
          <w:bCs/>
          <w:szCs w:val="21"/>
        </w:rPr>
        <w:t>附6、</w:t>
      </w:r>
      <w:r>
        <w:rPr>
          <w:rFonts w:hint="eastAsia" w:ascii="宋体" w:hAnsi="宋体" w:cs="宋体"/>
          <w:bCs/>
          <w:spacing w:val="6"/>
          <w:kern w:val="0"/>
          <w:szCs w:val="21"/>
        </w:rPr>
        <w:t>中小企业声明函</w:t>
      </w:r>
      <w:bookmarkEnd w:id="255"/>
      <w:bookmarkEnd w:id="256"/>
      <w:bookmarkEnd w:id="257"/>
    </w:p>
    <w:p>
      <w:pPr>
        <w:adjustRightInd w:val="0"/>
        <w:snapToGrid w:val="0"/>
        <w:spacing w:beforeLines="50" w:line="360" w:lineRule="auto"/>
        <w:ind w:firstLine="420" w:firstLineChars="200"/>
        <w:rPr>
          <w:rFonts w:ascii="宋体" w:hAnsi="宋体"/>
          <w:bCs/>
          <w:szCs w:val="21"/>
        </w:rPr>
      </w:pPr>
      <w:bookmarkStart w:id="258" w:name="_Toc20268_WPSOffice_Level2"/>
      <w:bookmarkStart w:id="259" w:name="_Toc26485_WPSOffice_Level3"/>
      <w:bookmarkStart w:id="260" w:name="_Toc14213_WPSOffice_Level2"/>
      <w:r>
        <w:rPr>
          <w:rFonts w:hint="eastAsia" w:ascii="宋体" w:hAnsi="宋体"/>
          <w:bCs/>
          <w:szCs w:val="21"/>
        </w:rPr>
        <w:t>附7</w:t>
      </w:r>
      <w:r>
        <w:rPr>
          <w:rFonts w:hint="eastAsia" w:ascii="宋体" w:hAnsi="宋体"/>
          <w:szCs w:val="21"/>
        </w:rPr>
        <w:t>、招标文件规定的其他资格条件</w:t>
      </w:r>
      <w:r>
        <w:rPr>
          <w:rFonts w:hint="eastAsia" w:ascii="宋体" w:hAnsi="宋体"/>
          <w:bCs/>
          <w:szCs w:val="21"/>
        </w:rPr>
        <w:t>证明文件</w:t>
      </w:r>
      <w:bookmarkEnd w:id="258"/>
      <w:bookmarkEnd w:id="259"/>
      <w:bookmarkEnd w:id="260"/>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附8、</w:t>
      </w:r>
      <w:r>
        <w:rPr>
          <w:rFonts w:hint="eastAsia" w:ascii="宋体" w:hAnsi="宋体"/>
          <w:szCs w:val="21"/>
        </w:rPr>
        <w:t>经销、或代理投标货物、或为投标货物提供售后服务的证明文件</w:t>
      </w:r>
    </w:p>
    <w:p>
      <w:pPr>
        <w:adjustRightInd w:val="0"/>
        <w:snapToGrid w:val="0"/>
        <w:spacing w:beforeLines="50" w:line="360" w:lineRule="auto"/>
        <w:rPr>
          <w:rFonts w:ascii="宋体" w:hAnsi="宋体"/>
          <w:b/>
          <w:szCs w:val="21"/>
        </w:rPr>
      </w:pPr>
      <w:bookmarkStart w:id="261" w:name="_Toc20005_WPSOffice_Level1"/>
      <w:bookmarkStart w:id="262" w:name="_Toc874_WPSOffice_Level1"/>
      <w:bookmarkStart w:id="263" w:name="_Toc3424_WPSOffice_Level2"/>
      <w:r>
        <w:rPr>
          <w:rFonts w:hint="eastAsia" w:ascii="宋体" w:hAnsi="宋体"/>
          <w:b/>
          <w:szCs w:val="21"/>
        </w:rPr>
        <w:t>三、其他</w:t>
      </w:r>
      <w:bookmarkEnd w:id="261"/>
      <w:bookmarkEnd w:id="262"/>
      <w:bookmarkEnd w:id="263"/>
    </w:p>
    <w:p>
      <w:pPr>
        <w:adjustRightInd w:val="0"/>
        <w:snapToGrid w:val="0"/>
        <w:spacing w:beforeLines="50" w:line="360" w:lineRule="auto"/>
        <w:ind w:firstLine="420" w:firstLineChars="200"/>
        <w:rPr>
          <w:rFonts w:ascii="宋体" w:hAnsi="宋体"/>
          <w:szCs w:val="21"/>
        </w:rPr>
      </w:pPr>
      <w:r>
        <w:rPr>
          <w:rFonts w:hint="eastAsia" w:ascii="宋体" w:hAnsi="宋体"/>
          <w:szCs w:val="21"/>
        </w:rPr>
        <w:t>1. 第一章“投标须知”第6.1</w:t>
      </w:r>
      <w:r>
        <w:rPr>
          <w:rFonts w:hint="eastAsia" w:ascii="宋体" w:hAnsi="宋体" w:cs="宋体"/>
          <w:kern w:val="0"/>
          <w:szCs w:val="21"/>
          <w:lang w:val="zh-CN"/>
        </w:rPr>
        <w:t>款</w:t>
      </w:r>
      <w:r>
        <w:rPr>
          <w:rFonts w:hint="eastAsia" w:ascii="宋体" w:hAnsi="宋体"/>
          <w:szCs w:val="21"/>
        </w:rPr>
        <w:t>规定不接受联合体投标的或投标人没有组成联合体的，投标人</w:t>
      </w:r>
      <w:r>
        <w:rPr>
          <w:rFonts w:hint="eastAsia" w:ascii="宋体" w:hAnsi="宋体"/>
          <w:bCs/>
          <w:szCs w:val="21"/>
        </w:rPr>
        <w:t>应提供的证明材料</w:t>
      </w:r>
      <w:r>
        <w:rPr>
          <w:rFonts w:hint="eastAsia" w:ascii="宋体" w:hAnsi="宋体"/>
          <w:szCs w:val="21"/>
        </w:rPr>
        <w:t>不包括“</w:t>
      </w:r>
      <w:r>
        <w:rPr>
          <w:rFonts w:hint="eastAsia" w:ascii="宋体" w:hAnsi="宋体"/>
          <w:bCs/>
          <w:szCs w:val="21"/>
        </w:rPr>
        <w:t>附5</w:t>
      </w:r>
      <w:r>
        <w:rPr>
          <w:rFonts w:hint="eastAsia" w:ascii="宋体" w:hAnsi="宋体"/>
          <w:szCs w:val="21"/>
        </w:rPr>
        <w:t>联合体协议书”。</w:t>
      </w:r>
    </w:p>
    <w:p>
      <w:pPr>
        <w:adjustRightInd w:val="0"/>
        <w:snapToGrid w:val="0"/>
        <w:spacing w:beforeLines="50" w:line="360" w:lineRule="auto"/>
        <w:rPr>
          <w:rFonts w:ascii="宋体" w:hAnsi="宋体"/>
          <w:bCs/>
          <w:szCs w:val="21"/>
        </w:rPr>
      </w:pPr>
      <w:r>
        <w:rPr>
          <w:rFonts w:hint="eastAsia" w:ascii="宋体" w:hAnsi="宋体"/>
          <w:szCs w:val="21"/>
        </w:rPr>
        <w:t xml:space="preserve">    2. 投标人投标产品不符合“</w:t>
      </w:r>
      <w:r>
        <w:rPr>
          <w:rFonts w:hint="eastAsia" w:ascii="宋体" w:hAnsi="宋体"/>
          <w:bCs/>
          <w:szCs w:val="21"/>
        </w:rPr>
        <w:t>附6</w:t>
      </w:r>
      <w:r>
        <w:rPr>
          <w:rFonts w:hint="eastAsia" w:ascii="宋体" w:hAnsi="宋体" w:cs="宋体"/>
          <w:bCs/>
          <w:spacing w:val="6"/>
          <w:kern w:val="0"/>
          <w:szCs w:val="21"/>
        </w:rPr>
        <w:t>中小企业声明函</w:t>
      </w:r>
      <w:r>
        <w:rPr>
          <w:rFonts w:hint="eastAsia" w:ascii="宋体" w:hAnsi="宋体"/>
          <w:szCs w:val="21"/>
        </w:rPr>
        <w:t>”</w:t>
      </w:r>
      <w:r>
        <w:rPr>
          <w:rFonts w:hint="eastAsia" w:ascii="宋体" w:hAnsi="宋体" w:cs="宋体"/>
          <w:bCs/>
          <w:spacing w:val="6"/>
          <w:kern w:val="0"/>
          <w:szCs w:val="21"/>
        </w:rPr>
        <w:t>中相关规定的，</w:t>
      </w:r>
      <w:r>
        <w:rPr>
          <w:rFonts w:hint="eastAsia" w:ascii="宋体" w:hAnsi="宋体"/>
          <w:szCs w:val="21"/>
        </w:rPr>
        <w:t>投标人</w:t>
      </w:r>
      <w:r>
        <w:rPr>
          <w:rFonts w:hint="eastAsia" w:ascii="宋体" w:hAnsi="宋体"/>
          <w:bCs/>
          <w:szCs w:val="21"/>
        </w:rPr>
        <w:t>应提供的证明材料</w:t>
      </w:r>
      <w:r>
        <w:rPr>
          <w:rFonts w:hint="eastAsia" w:ascii="宋体" w:hAnsi="宋体"/>
          <w:szCs w:val="21"/>
        </w:rPr>
        <w:t>不包括“</w:t>
      </w:r>
      <w:r>
        <w:rPr>
          <w:rFonts w:hint="eastAsia" w:ascii="宋体" w:hAnsi="宋体"/>
          <w:bCs/>
          <w:szCs w:val="21"/>
        </w:rPr>
        <w:t>附6</w:t>
      </w:r>
      <w:r>
        <w:rPr>
          <w:rFonts w:hint="eastAsia" w:ascii="宋体" w:hAnsi="宋体" w:cs="宋体"/>
          <w:bCs/>
          <w:spacing w:val="6"/>
          <w:kern w:val="0"/>
          <w:szCs w:val="21"/>
        </w:rPr>
        <w:t>中小企业声明函</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bCs/>
          <w:szCs w:val="21"/>
        </w:rPr>
        <w:t>3.</w:t>
      </w:r>
      <w:r>
        <w:rPr>
          <w:rFonts w:hint="eastAsia" w:ascii="宋体" w:hAnsi="宋体"/>
          <w:szCs w:val="21"/>
        </w:rPr>
        <w:t xml:space="preserve"> 制造商不提供“</w:t>
      </w:r>
      <w:r>
        <w:rPr>
          <w:rFonts w:hint="eastAsia" w:ascii="宋体" w:hAnsi="宋体"/>
          <w:bCs/>
          <w:szCs w:val="21"/>
        </w:rPr>
        <w:t>附8</w:t>
      </w:r>
      <w:r>
        <w:rPr>
          <w:rFonts w:hint="eastAsia" w:ascii="宋体" w:hAnsi="宋体"/>
          <w:szCs w:val="21"/>
        </w:rPr>
        <w:t>经销、或代理投标货物、或为投标货物提供售后服务的证明文件”。</w:t>
      </w:r>
    </w:p>
    <w:p>
      <w:pPr>
        <w:pStyle w:val="4"/>
        <w:rPr>
          <w:rFonts w:ascii="黑体" w:hAnsi="黑体" w:eastAsia="黑体" w:cs="仿宋"/>
          <w:sz w:val="28"/>
          <w:szCs w:val="21"/>
        </w:rPr>
      </w:pPr>
      <w:bookmarkStart w:id="264" w:name="_Toc536603254"/>
      <w:bookmarkStart w:id="265" w:name="_Toc17775_WPSOffice_Level1"/>
      <w:bookmarkStart w:id="266" w:name="_Toc12949_WPSOffice_Level1"/>
      <w:bookmarkStart w:id="267" w:name="_Toc19098_WPSOffice_Level3"/>
      <w:r>
        <w:rPr>
          <w:rFonts w:hint="eastAsia" w:ascii="黑体" w:hAnsi="黑体" w:eastAsia="黑体" w:cs="仿宋"/>
          <w:sz w:val="28"/>
          <w:szCs w:val="21"/>
        </w:rPr>
        <w:t>六（二）、附件1  授权委托书</w:t>
      </w:r>
      <w:bookmarkEnd w:id="264"/>
      <w:bookmarkEnd w:id="265"/>
      <w:bookmarkEnd w:id="266"/>
      <w:bookmarkEnd w:id="267"/>
    </w:p>
    <w:p>
      <w:pPr>
        <w:adjustRightInd w:val="0"/>
        <w:snapToGrid w:val="0"/>
        <w:spacing w:line="360" w:lineRule="auto"/>
        <w:rPr>
          <w:rFonts w:ascii="宋体" w:hAnsi="宋体"/>
          <w:bCs/>
          <w:szCs w:val="21"/>
        </w:rPr>
      </w:pPr>
    </w:p>
    <w:p>
      <w:pPr>
        <w:rPr>
          <w:rFonts w:ascii="黑体" w:hAnsi="华文中宋" w:eastAsia="黑体"/>
          <w:sz w:val="32"/>
          <w:szCs w:val="32"/>
        </w:rPr>
      </w:pP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投标人</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（姓名、职务）为我方代理人。代理人根据授权，以我方名义签署、澄清、说明、补正、递交、撤回、修改</w:t>
      </w:r>
      <w:r>
        <w:rPr>
          <w:rFonts w:hint="eastAsia" w:ascii="宋体" w:hAnsi="宋体" w:cs="宋体"/>
          <w:kern w:val="0"/>
          <w:szCs w:val="21"/>
          <w:u w:val="single"/>
        </w:rPr>
        <w:t xml:space="preserve">                     </w:t>
      </w:r>
      <w:r>
        <w:rPr>
          <w:rFonts w:hint="eastAsia" w:ascii="宋体" w:hAnsi="宋体" w:cs="宋体"/>
          <w:kern w:val="0"/>
          <w:szCs w:val="21"/>
        </w:rPr>
        <w:t>（项目名称、政府采购编号、采购代理机构编号）投标文件、签订合同和处理有关事宜，其法律后果由我方承担。</w:t>
      </w: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pPr>
        <w:adjustRightInd w:val="0"/>
        <w:snapToGrid w:val="0"/>
        <w:spacing w:beforeLines="50" w:line="360" w:lineRule="auto"/>
        <w:ind w:firstLine="435"/>
        <w:rPr>
          <w:rFonts w:ascii="宋体" w:hAnsi="宋体" w:cs="宋体"/>
          <w:kern w:val="0"/>
          <w:szCs w:val="21"/>
        </w:rPr>
      </w:pPr>
      <w:r>
        <w:rPr>
          <w:rFonts w:hint="eastAsia" w:ascii="宋体" w:hAnsi="宋体" w:cs="宋体"/>
          <w:kern w:val="0"/>
          <w:szCs w:val="21"/>
        </w:rPr>
        <w:t>代理人无转委托权。</w:t>
      </w:r>
    </w:p>
    <w:p>
      <w:pPr>
        <w:adjustRightInd w:val="0"/>
        <w:snapToGrid w:val="0"/>
        <w:spacing w:beforeLines="50" w:line="360" w:lineRule="auto"/>
        <w:ind w:firstLine="435"/>
        <w:rPr>
          <w:rFonts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pPr>
        <w:adjustRightInd w:val="0"/>
        <w:snapToGrid w:val="0"/>
        <w:spacing w:beforeLines="50" w:line="360" w:lineRule="auto"/>
        <w:ind w:firstLine="420" w:firstLineChars="200"/>
        <w:rPr>
          <w:rFonts w:ascii="宋体" w:hAnsi="宋体"/>
          <w:szCs w:val="21"/>
        </w:rPr>
      </w:pPr>
    </w:p>
    <w:tbl>
      <w:tblPr>
        <w:tblStyle w:val="4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委托代理人身份证复印件</w:t>
            </w:r>
          </w:p>
        </w:tc>
      </w:tr>
    </w:tbl>
    <w:p>
      <w:pPr>
        <w:adjustRightInd w:val="0"/>
        <w:snapToGrid w:val="0"/>
        <w:spacing w:beforeLines="50" w:line="360" w:lineRule="auto"/>
        <w:ind w:firstLine="420" w:firstLineChars="200"/>
        <w:rPr>
          <w:rFonts w:ascii="宋体" w:hAnsi="宋体"/>
          <w:szCs w:val="21"/>
        </w:rPr>
      </w:pPr>
      <w:r>
        <w:rPr>
          <w:rFonts w:hint="eastAsia" w:ascii="宋体" w:hAnsi="宋体"/>
          <w:szCs w:val="21"/>
        </w:rPr>
        <w:t>附：法定代表人身份证明</w:t>
      </w: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投标人名称（单位章）：</w:t>
      </w:r>
    </w:p>
    <w:p>
      <w:pPr>
        <w:adjustRightInd w:val="0"/>
        <w:snapToGrid w:val="0"/>
        <w:spacing w:beforeLines="50" w:line="360" w:lineRule="auto"/>
        <w:ind w:right="420"/>
        <w:rPr>
          <w:rFonts w:ascii="宋体" w:hAnsi="宋体"/>
          <w:szCs w:val="21"/>
        </w:rPr>
      </w:pPr>
      <w:r>
        <w:rPr>
          <w:rFonts w:hint="eastAsia" w:ascii="宋体" w:hAnsi="宋体"/>
          <w:szCs w:val="21"/>
        </w:rPr>
        <w:t>法定代表人（签字）：</w:t>
      </w:r>
      <w:r>
        <w:rPr>
          <w:rFonts w:hint="eastAsia" w:ascii="宋体" w:hAnsi="宋体"/>
          <w:szCs w:val="21"/>
          <w:u w:val="single"/>
        </w:rPr>
        <w:t xml:space="preserve">                     </w:t>
      </w:r>
    </w:p>
    <w:p>
      <w:pPr>
        <w:adjustRightInd w:val="0"/>
        <w:snapToGrid w:val="0"/>
        <w:spacing w:beforeLines="50" w:line="360" w:lineRule="auto"/>
        <w:ind w:right="420"/>
        <w:rPr>
          <w:rFonts w:ascii="宋体" w:hAnsi="宋体"/>
          <w:szCs w:val="21"/>
        </w:rPr>
      </w:pPr>
      <w:r>
        <w:rPr>
          <w:rFonts w:hint="eastAsia" w:ascii="宋体" w:hAnsi="宋体"/>
          <w:szCs w:val="21"/>
        </w:rPr>
        <w:t>委托代理人（签字）：</w:t>
      </w:r>
      <w:r>
        <w:rPr>
          <w:rFonts w:hint="eastAsia" w:ascii="宋体" w:hAnsi="宋体"/>
          <w:szCs w:val="21"/>
          <w:u w:val="single"/>
        </w:rPr>
        <w:t xml:space="preserve">                     </w:t>
      </w:r>
    </w:p>
    <w:p>
      <w:pPr>
        <w:adjustRightInd w:val="0"/>
        <w:snapToGrid w:val="0"/>
        <w:spacing w:beforeLines="50" w:line="360" w:lineRule="auto"/>
        <w:ind w:right="42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bCs/>
          <w:szCs w:val="21"/>
        </w:rPr>
      </w:pPr>
    </w:p>
    <w:p>
      <w:pPr>
        <w:pStyle w:val="4"/>
        <w:rPr>
          <w:rFonts w:ascii="黑体" w:hAnsi="黑体" w:eastAsia="黑体" w:cs="仿宋"/>
          <w:sz w:val="28"/>
          <w:szCs w:val="21"/>
        </w:rPr>
      </w:pPr>
      <w:r>
        <w:rPr>
          <w:rFonts w:ascii="黑体" w:hAnsi="黑体" w:eastAsia="黑体" w:cs="仿宋"/>
          <w:sz w:val="28"/>
          <w:szCs w:val="21"/>
        </w:rPr>
        <w:t xml:space="preserve"> </w:t>
      </w:r>
      <w:bookmarkStart w:id="268" w:name="_Toc418504662"/>
      <w:bookmarkStart w:id="269" w:name="_Toc18317_WPSOffice_Level1"/>
      <w:bookmarkStart w:id="270" w:name="_Toc13425_WPSOffice_Level3"/>
      <w:bookmarkStart w:id="271" w:name="_Toc7302_WPSOffice_Level1"/>
      <w:bookmarkStart w:id="272" w:name="_Toc536603255"/>
      <w:r>
        <w:rPr>
          <w:rFonts w:hint="eastAsia" w:ascii="黑体" w:hAnsi="黑体" w:eastAsia="黑体" w:cs="仿宋"/>
          <w:sz w:val="28"/>
          <w:szCs w:val="21"/>
        </w:rPr>
        <w:t>六</w:t>
      </w:r>
      <w:bookmarkEnd w:id="268"/>
      <w:r>
        <w:rPr>
          <w:rFonts w:hint="eastAsia" w:ascii="黑体" w:hAnsi="黑体" w:eastAsia="黑体" w:cs="仿宋"/>
          <w:sz w:val="28"/>
          <w:szCs w:val="21"/>
        </w:rPr>
        <w:t>（二）、附件1-1</w:t>
      </w:r>
      <w:bookmarkEnd w:id="269"/>
      <w:bookmarkEnd w:id="270"/>
      <w:bookmarkEnd w:id="271"/>
      <w:bookmarkStart w:id="273" w:name="_Toc12391_WPSOffice_Level2"/>
      <w:bookmarkStart w:id="274" w:name="_Toc21776_WPSOffice_Level2"/>
      <w:bookmarkStart w:id="275" w:name="_Toc418504663"/>
      <w:r>
        <w:rPr>
          <w:rFonts w:hint="eastAsia" w:ascii="黑体" w:hAnsi="华文中宋" w:eastAsia="黑体"/>
          <w:sz w:val="28"/>
          <w:szCs w:val="28"/>
        </w:rPr>
        <w:t>法定代表人身份证明</w:t>
      </w:r>
      <w:bookmarkEnd w:id="272"/>
      <w:bookmarkEnd w:id="273"/>
      <w:bookmarkEnd w:id="274"/>
    </w:p>
    <w:p>
      <w:pPr>
        <w:adjustRightInd w:val="0"/>
        <w:snapToGrid w:val="0"/>
        <w:spacing w:beforeLines="50" w:line="360" w:lineRule="auto"/>
        <w:rPr>
          <w:rFonts w:ascii="宋体" w:hAnsi="宋体"/>
          <w:szCs w:val="21"/>
        </w:rPr>
      </w:pP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pPr>
        <w:autoSpaceDE w:val="0"/>
        <w:autoSpaceDN w:val="0"/>
        <w:adjustRightInd w:val="0"/>
        <w:snapToGrid w:val="0"/>
        <w:spacing w:beforeLines="50" w:line="360" w:lineRule="auto"/>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投标人</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特此证明。</w:t>
      </w:r>
    </w:p>
    <w:p>
      <w:pPr>
        <w:autoSpaceDE w:val="0"/>
        <w:autoSpaceDN w:val="0"/>
        <w:adjustRightInd w:val="0"/>
        <w:snapToGrid w:val="0"/>
        <w:spacing w:beforeLines="50" w:line="360" w:lineRule="auto"/>
        <w:jc w:val="left"/>
        <w:rPr>
          <w:rFonts w:ascii="宋体" w:hAnsi="宋体" w:cs="宋体"/>
          <w:kern w:val="0"/>
          <w:szCs w:val="21"/>
        </w:rPr>
      </w:pPr>
    </w:p>
    <w:tbl>
      <w:tblPr>
        <w:tblStyle w:val="4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26" w:hRule="atLeast"/>
        </w:trPr>
        <w:tc>
          <w:tcPr>
            <w:tcW w:w="8528" w:type="dxa"/>
            <w:vAlign w:val="center"/>
          </w:tcPr>
          <w:p>
            <w:pPr>
              <w:adjustRightInd w:val="0"/>
              <w:snapToGrid w:val="0"/>
              <w:spacing w:beforeLines="50" w:line="360" w:lineRule="auto"/>
              <w:jc w:val="center"/>
              <w:rPr>
                <w:rFonts w:ascii="宋体" w:hAnsi="宋体"/>
                <w:szCs w:val="21"/>
              </w:rPr>
            </w:pPr>
            <w:r>
              <w:rPr>
                <w:rFonts w:hint="eastAsia" w:ascii="宋体" w:hAnsi="宋体"/>
                <w:szCs w:val="21"/>
              </w:rPr>
              <w:t>法定代表人身份证复印件</w:t>
            </w:r>
          </w:p>
        </w:tc>
      </w:tr>
    </w:tbl>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p>
    <w:p>
      <w:pPr>
        <w:rPr>
          <w:rFonts w:ascii="宋体" w:hAnsi="宋体"/>
          <w:szCs w:val="21"/>
        </w:rPr>
      </w:pPr>
      <w:r>
        <w:rPr>
          <w:rFonts w:hint="eastAsia" w:ascii="宋体" w:hAnsi="宋体"/>
          <w:szCs w:val="21"/>
        </w:rPr>
        <w:t>投标人名称（单位章）：</w:t>
      </w:r>
    </w:p>
    <w:p>
      <w:pPr>
        <w:rPr>
          <w:rFonts w:ascii="仿宋_GB2312" w:hAnsi="宋体" w:eastAsia="仿宋_GB2312"/>
          <w:sz w:val="24"/>
        </w:rPr>
      </w:pP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bookmarkEnd w:id="232"/>
      <w:bookmarkEnd w:id="233"/>
      <w:bookmarkEnd w:id="275"/>
      <w:bookmarkStart w:id="276" w:name="_Toc294186063"/>
      <w:bookmarkStart w:id="277" w:name="_Toc294206746"/>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widowControl/>
        <w:spacing w:line="276" w:lineRule="auto"/>
        <w:rPr>
          <w:rFonts w:ascii="宋体" w:hAnsi="宋体"/>
          <w:b/>
          <w:kern w:val="32"/>
          <w:sz w:val="24"/>
        </w:rPr>
      </w:pPr>
    </w:p>
    <w:p>
      <w:pPr>
        <w:widowControl/>
        <w:spacing w:line="276" w:lineRule="auto"/>
        <w:jc w:val="center"/>
        <w:rPr>
          <w:rFonts w:ascii="宋体" w:hAnsi="宋体"/>
          <w:b/>
          <w:kern w:val="32"/>
          <w:sz w:val="24"/>
        </w:rPr>
      </w:pPr>
      <w:bookmarkStart w:id="278" w:name="_Toc21491_WPSOffice_Level2"/>
    </w:p>
    <w:p>
      <w:pPr>
        <w:widowControl/>
        <w:spacing w:line="276" w:lineRule="auto"/>
        <w:jc w:val="center"/>
        <w:rPr>
          <w:rFonts w:ascii="宋体" w:hAnsi="宋体"/>
          <w:b/>
          <w:kern w:val="32"/>
          <w:sz w:val="24"/>
        </w:rPr>
      </w:pPr>
      <w:r>
        <w:rPr>
          <w:rFonts w:hint="eastAsia" w:ascii="宋体" w:hAnsi="宋体"/>
          <w:b/>
          <w:kern w:val="32"/>
          <w:sz w:val="24"/>
        </w:rPr>
        <w:t>无</w:t>
      </w:r>
      <w:r>
        <w:rPr>
          <w:rFonts w:ascii="宋体" w:hAnsi="宋体"/>
          <w:b/>
          <w:kern w:val="32"/>
          <w:sz w:val="24"/>
        </w:rPr>
        <w:t>失信被执行行为承诺书</w:t>
      </w:r>
      <w:bookmarkEnd w:id="278"/>
    </w:p>
    <w:p>
      <w:pPr>
        <w:snapToGrid w:val="0"/>
        <w:spacing w:line="276" w:lineRule="auto"/>
        <w:rPr>
          <w:rFonts w:ascii="宋体" w:hAnsi="宋体"/>
          <w:u w:val="single"/>
        </w:rPr>
      </w:pPr>
    </w:p>
    <w:p>
      <w:pPr>
        <w:snapToGrid w:val="0"/>
        <w:spacing w:line="276" w:lineRule="auto"/>
        <w:rPr>
          <w:rFonts w:ascii="宋体" w:hAnsi="宋体"/>
          <w:u w:val="single"/>
        </w:rPr>
      </w:pPr>
    </w:p>
    <w:p>
      <w:pPr>
        <w:snapToGrid w:val="0"/>
        <w:spacing w:line="276" w:lineRule="auto"/>
        <w:rPr>
          <w:rFonts w:ascii="宋体" w:hAnsi="宋体"/>
        </w:rPr>
      </w:pPr>
      <w:r>
        <w:rPr>
          <w:rFonts w:hint="eastAsia" w:ascii="宋体" w:hAnsi="宋体"/>
          <w:bCs/>
          <w:sz w:val="24"/>
        </w:rPr>
        <w:t>致</w:t>
      </w:r>
      <w:r>
        <w:rPr>
          <w:rFonts w:hint="eastAsia" w:ascii="宋体" w:hAnsi="宋体"/>
          <w:u w:val="single"/>
        </w:rPr>
        <w:t xml:space="preserve">                     </w:t>
      </w:r>
      <w:r>
        <w:rPr>
          <w:rFonts w:hint="eastAsia" w:ascii="宋体" w:hAnsi="宋体"/>
          <w:bCs/>
          <w:sz w:val="24"/>
        </w:rPr>
        <w:t>(采购代理机构)</w:t>
      </w:r>
      <w:r>
        <w:rPr>
          <w:rFonts w:hint="eastAsia" w:ascii="宋体" w:hAnsi="宋体"/>
        </w:rPr>
        <w:t>：</w:t>
      </w:r>
    </w:p>
    <w:p>
      <w:pPr>
        <w:widowControl/>
        <w:adjustRightInd w:val="0"/>
        <w:snapToGrid w:val="0"/>
        <w:spacing w:beforeLines="50" w:line="276" w:lineRule="auto"/>
        <w:ind w:firstLine="480" w:firstLineChars="200"/>
        <w:rPr>
          <w:rFonts w:ascii="宋体" w:hAnsi="宋体"/>
          <w:bCs/>
          <w:sz w:val="24"/>
        </w:rPr>
      </w:pPr>
      <w:r>
        <w:rPr>
          <w:rFonts w:ascii="宋体" w:hAnsi="宋体"/>
          <w:bCs/>
          <w:sz w:val="24"/>
        </w:rPr>
        <w:t>本人以企业法定代表人的身份郑重承诺：</w:t>
      </w:r>
    </w:p>
    <w:p>
      <w:pPr>
        <w:widowControl/>
        <w:adjustRightInd w:val="0"/>
        <w:snapToGrid w:val="0"/>
        <w:spacing w:beforeLines="50" w:line="276" w:lineRule="auto"/>
        <w:ind w:firstLine="480" w:firstLineChars="200"/>
        <w:rPr>
          <w:rFonts w:ascii="宋体" w:hAnsi="宋体"/>
          <w:bCs/>
          <w:sz w:val="24"/>
        </w:rPr>
      </w:pPr>
      <w:r>
        <w:rPr>
          <w:rFonts w:ascii="宋体" w:hAnsi="宋体"/>
          <w:bCs/>
          <w:sz w:val="24"/>
        </w:rPr>
        <w:t>本公司、公司法定代表人及项目负责人</w:t>
      </w:r>
      <w:r>
        <w:rPr>
          <w:rFonts w:hint="eastAsia" w:ascii="宋体" w:hAnsi="宋体"/>
          <w:bCs/>
          <w:sz w:val="24"/>
        </w:rPr>
        <w:t>、委托代理人</w:t>
      </w:r>
      <w:r>
        <w:rPr>
          <w:rFonts w:ascii="宋体" w:hAnsi="宋体"/>
          <w:bCs/>
          <w:sz w:val="24"/>
        </w:rPr>
        <w:t>行为遵守法律法规规定，不在人民法院公布的失信被执行人名单中，愿意接受社会各界监督。 本公司、法定代表人及项目负责人</w:t>
      </w:r>
      <w:r>
        <w:rPr>
          <w:rFonts w:hint="eastAsia" w:ascii="宋体" w:hAnsi="宋体"/>
          <w:bCs/>
          <w:sz w:val="24"/>
        </w:rPr>
        <w:t>、委托代理人</w:t>
      </w:r>
      <w:r>
        <w:rPr>
          <w:rFonts w:ascii="宋体" w:hAnsi="宋体"/>
          <w:bCs/>
          <w:sz w:val="24"/>
        </w:rPr>
        <w:t>若有违反承诺内容的行为，自愿依法接受取消投标资格、记入信用档案、取消中标资格、没收投标保证金等有关处理，愿意承担法律责任，给招标人造成损失的，依法承担赔偿责任。</w:t>
      </w:r>
    </w:p>
    <w:p>
      <w:pPr>
        <w:widowControl/>
        <w:adjustRightInd w:val="0"/>
        <w:snapToGrid w:val="0"/>
        <w:spacing w:beforeLines="50" w:line="276" w:lineRule="auto"/>
        <w:ind w:firstLine="480" w:firstLineChars="200"/>
        <w:rPr>
          <w:rFonts w:ascii="宋体" w:hAnsi="宋体"/>
          <w:bCs/>
          <w:sz w:val="24"/>
        </w:rPr>
      </w:pPr>
    </w:p>
    <w:p>
      <w:pPr>
        <w:widowControl/>
        <w:adjustRightInd w:val="0"/>
        <w:snapToGrid w:val="0"/>
        <w:spacing w:beforeLines="50" w:line="276" w:lineRule="auto"/>
        <w:ind w:firstLine="480" w:firstLineChars="200"/>
        <w:rPr>
          <w:rFonts w:ascii="宋体" w:hAnsi="宋体"/>
          <w:bCs/>
          <w:sz w:val="24"/>
        </w:rPr>
      </w:pPr>
      <w:r>
        <w:rPr>
          <w:rFonts w:hint="eastAsia" w:ascii="宋体" w:hAnsi="宋体"/>
          <w:bCs/>
          <w:sz w:val="24"/>
        </w:rPr>
        <w:t>特此承诺</w:t>
      </w:r>
    </w:p>
    <w:p>
      <w:pPr>
        <w:widowControl/>
        <w:adjustRightInd w:val="0"/>
        <w:snapToGrid w:val="0"/>
        <w:spacing w:beforeLines="50" w:line="276" w:lineRule="auto"/>
        <w:ind w:firstLine="480" w:firstLineChars="200"/>
        <w:rPr>
          <w:rFonts w:ascii="宋体" w:hAnsi="宋体"/>
          <w:bCs/>
          <w:sz w:val="24"/>
        </w:rPr>
      </w:pPr>
    </w:p>
    <w:p>
      <w:pPr>
        <w:widowControl/>
        <w:adjustRightInd w:val="0"/>
        <w:snapToGrid w:val="0"/>
        <w:spacing w:beforeLines="50" w:line="276" w:lineRule="auto"/>
        <w:ind w:firstLine="480" w:firstLineChars="200"/>
        <w:rPr>
          <w:rFonts w:ascii="宋体" w:hAnsi="宋体"/>
          <w:bCs/>
          <w:sz w:val="24"/>
        </w:rPr>
      </w:pPr>
    </w:p>
    <w:p>
      <w:pPr>
        <w:widowControl/>
        <w:adjustRightInd w:val="0"/>
        <w:snapToGrid w:val="0"/>
        <w:spacing w:beforeLines="50" w:line="276" w:lineRule="auto"/>
        <w:ind w:firstLine="480" w:firstLineChars="200"/>
        <w:rPr>
          <w:rFonts w:ascii="宋体" w:hAnsi="宋体"/>
          <w:bCs/>
          <w:sz w:val="24"/>
        </w:rPr>
      </w:pPr>
    </w:p>
    <w:p>
      <w:pPr>
        <w:widowControl/>
        <w:adjustRightInd w:val="0"/>
        <w:snapToGrid w:val="0"/>
        <w:spacing w:beforeLines="50" w:line="276" w:lineRule="auto"/>
        <w:ind w:firstLine="480" w:firstLineChars="200"/>
        <w:rPr>
          <w:rFonts w:ascii="宋体" w:hAnsi="宋体"/>
          <w:bCs/>
          <w:sz w:val="24"/>
        </w:rPr>
      </w:pPr>
    </w:p>
    <w:p>
      <w:pPr>
        <w:widowControl/>
        <w:adjustRightInd w:val="0"/>
        <w:snapToGrid w:val="0"/>
        <w:spacing w:beforeLines="50" w:line="276" w:lineRule="auto"/>
        <w:rPr>
          <w:rFonts w:ascii="宋体" w:hAnsi="宋体"/>
          <w:bCs/>
          <w:sz w:val="24"/>
        </w:rPr>
      </w:pPr>
    </w:p>
    <w:p>
      <w:pPr>
        <w:widowControl/>
        <w:adjustRightInd w:val="0"/>
        <w:snapToGrid w:val="0"/>
        <w:spacing w:beforeLines="50" w:line="276" w:lineRule="auto"/>
        <w:ind w:firstLine="480" w:firstLineChars="200"/>
        <w:rPr>
          <w:rFonts w:ascii="宋体" w:hAnsi="宋体"/>
          <w:bCs/>
          <w:sz w:val="24"/>
        </w:rPr>
      </w:pPr>
      <w:r>
        <w:rPr>
          <w:rFonts w:ascii="宋体" w:hAnsi="宋体"/>
          <w:bCs/>
          <w:sz w:val="24"/>
        </w:rPr>
        <w:t>法定代表人（负责人）（签字）：                    </w:t>
      </w:r>
    </w:p>
    <w:p>
      <w:pPr>
        <w:widowControl/>
        <w:adjustRightInd w:val="0"/>
        <w:snapToGrid w:val="0"/>
        <w:spacing w:beforeLines="50" w:line="276" w:lineRule="auto"/>
        <w:ind w:firstLine="480" w:firstLineChars="200"/>
        <w:rPr>
          <w:rFonts w:ascii="宋体" w:hAnsi="宋体"/>
          <w:bCs/>
          <w:sz w:val="24"/>
        </w:rPr>
      </w:pPr>
      <w:r>
        <w:rPr>
          <w:rFonts w:ascii="宋体" w:hAnsi="宋体"/>
          <w:bCs/>
          <w:sz w:val="24"/>
        </w:rPr>
        <w:t>委托代理人（签字）：                   </w:t>
      </w:r>
    </w:p>
    <w:p>
      <w:pPr>
        <w:widowControl/>
        <w:adjustRightInd w:val="0"/>
        <w:snapToGrid w:val="0"/>
        <w:spacing w:beforeLines="50" w:line="276" w:lineRule="auto"/>
        <w:ind w:firstLine="480" w:firstLineChars="200"/>
        <w:rPr>
          <w:rFonts w:ascii="宋体" w:hAnsi="宋体"/>
          <w:bCs/>
          <w:sz w:val="24"/>
        </w:rPr>
      </w:pPr>
      <w:r>
        <w:rPr>
          <w:rFonts w:ascii="宋体" w:hAnsi="宋体"/>
          <w:bCs/>
          <w:sz w:val="24"/>
        </w:rPr>
        <w:t>供应商名称（盖单位章）：</w:t>
      </w:r>
    </w:p>
    <w:p>
      <w:pPr>
        <w:rPr>
          <w:rFonts w:ascii="宋体" w:hAnsi="宋体"/>
          <w:bCs/>
          <w:sz w:val="24"/>
        </w:rPr>
      </w:pPr>
      <w:r>
        <w:rPr>
          <w:rFonts w:ascii="宋体" w:hAnsi="宋体"/>
          <w:bCs/>
          <w:sz w:val="24"/>
        </w:rPr>
        <w:t>日期：</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pStyle w:val="4"/>
        <w:rPr>
          <w:rFonts w:ascii="宋体" w:hAnsi="宋体" w:cs="宋体"/>
        </w:rPr>
      </w:pPr>
      <w:bookmarkStart w:id="279" w:name="_Toc18186_WPSOffice_Level3"/>
      <w:bookmarkStart w:id="280" w:name="_Toc4356_WPSOffice_Level1"/>
      <w:bookmarkStart w:id="281" w:name="_Toc30710_WPSOffice_Level1"/>
      <w:bookmarkStart w:id="282" w:name="_Toc536603256"/>
      <w:r>
        <w:rPr>
          <w:rFonts w:hint="eastAsia" w:ascii="黑体" w:hAnsi="黑体" w:eastAsia="黑体" w:cs="仿宋"/>
          <w:sz w:val="28"/>
          <w:szCs w:val="21"/>
        </w:rPr>
        <w:t>六（二</w:t>
      </w:r>
      <w:bookmarkEnd w:id="276"/>
      <w:bookmarkEnd w:id="277"/>
      <w:r>
        <w:rPr>
          <w:rFonts w:hint="eastAsia" w:ascii="黑体" w:hAnsi="黑体" w:eastAsia="黑体" w:cs="仿宋"/>
          <w:sz w:val="28"/>
          <w:szCs w:val="21"/>
        </w:rPr>
        <w:t>）、附件2  投标人基本情况</w:t>
      </w:r>
      <w:bookmarkEnd w:id="279"/>
      <w:bookmarkEnd w:id="280"/>
      <w:bookmarkEnd w:id="281"/>
      <w:bookmarkEnd w:id="282"/>
      <w:bookmarkStart w:id="283" w:name="_Toc294186064"/>
      <w:bookmarkStart w:id="284" w:name="_Toc294206747"/>
      <w:r>
        <w:rPr>
          <w:rFonts w:hint="eastAsia" w:ascii="黑体" w:hAnsi="黑体" w:eastAsia="黑体" w:cs="仿宋"/>
          <w:sz w:val="28"/>
          <w:szCs w:val="21"/>
        </w:rPr>
        <w:t xml:space="preserve"> </w:t>
      </w:r>
      <w:r>
        <w:rPr>
          <w:rFonts w:hint="eastAsia" w:ascii="宋体" w:hAnsi="宋体"/>
          <w:szCs w:val="21"/>
          <w:u w:val="single"/>
        </w:rPr>
        <w:t xml:space="preserve">                                                                              </w:t>
      </w:r>
    </w:p>
    <w:p>
      <w:pPr>
        <w:adjustRightInd w:val="0"/>
        <w:snapToGrid w:val="0"/>
        <w:spacing w:line="360" w:lineRule="auto"/>
        <w:rPr>
          <w:rFonts w:ascii="宋体" w:hAnsi="宋体" w:cs="宋体"/>
        </w:rPr>
      </w:pPr>
    </w:p>
    <w:p>
      <w:pPr>
        <w:adjustRightInd w:val="0"/>
        <w:snapToGrid w:val="0"/>
        <w:spacing w:line="360" w:lineRule="auto"/>
        <w:rPr>
          <w:rFonts w:ascii="宋体" w:hAnsi="宋体" w:cs="宋体"/>
        </w:rPr>
      </w:pPr>
      <w:r>
        <w:rPr>
          <w:rFonts w:hint="eastAsia" w:ascii="宋体" w:hAnsi="宋体" w:cs="宋体"/>
        </w:rPr>
        <w:t>1、投标人基本情况表</w:t>
      </w:r>
    </w:p>
    <w:tbl>
      <w:tblPr>
        <w:tblStyle w:val="40"/>
        <w:tblW w:w="9019"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901"/>
        <w:gridCol w:w="1020"/>
        <w:gridCol w:w="973"/>
        <w:gridCol w:w="590"/>
        <w:gridCol w:w="294"/>
        <w:gridCol w:w="1083"/>
        <w:gridCol w:w="1329"/>
        <w:gridCol w:w="21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2"/>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投标人名称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法定代表人</w:t>
            </w:r>
          </w:p>
        </w:tc>
        <w:tc>
          <w:tcPr>
            <w:tcW w:w="2110"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trPr>
        <w:tc>
          <w:tcPr>
            <w:tcW w:w="1620"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邮政编码</w:t>
            </w:r>
          </w:p>
        </w:tc>
        <w:tc>
          <w:tcPr>
            <w:tcW w:w="2110"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trPr>
        <w:tc>
          <w:tcPr>
            <w:tcW w:w="1620"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电子邮箱</w:t>
            </w:r>
          </w:p>
        </w:tc>
        <w:tc>
          <w:tcPr>
            <w:tcW w:w="2110"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620"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上年营业收入</w:t>
            </w:r>
          </w:p>
        </w:tc>
        <w:tc>
          <w:tcPr>
            <w:tcW w:w="3960" w:type="dxa"/>
            <w:gridSpan w:val="5"/>
            <w:tcBorders>
              <w:top w:val="single" w:color="auto" w:sz="6" w:space="0"/>
              <w:left w:val="single" w:color="auto" w:sz="6" w:space="0"/>
              <w:bottom w:val="single" w:color="auto" w:sz="4" w:space="0"/>
              <w:right w:val="single" w:color="auto" w:sz="6" w:space="0"/>
            </w:tcBorders>
            <w:vAlign w:val="center"/>
          </w:tcPr>
          <w:p>
            <w:pPr>
              <w:topLinePunct/>
              <w:spacing w:line="440" w:lineRule="exact"/>
              <w:jc w:val="center"/>
              <w:rPr>
                <w:rFonts w:ascii="宋体"/>
              </w:rPr>
            </w:pPr>
          </w:p>
        </w:tc>
        <w:tc>
          <w:tcPr>
            <w:tcW w:w="1329" w:type="dxa"/>
            <w:tcBorders>
              <w:top w:val="single" w:color="auto" w:sz="6" w:space="0"/>
              <w:left w:val="single" w:color="auto" w:sz="6" w:space="0"/>
              <w:bottom w:val="single" w:color="auto" w:sz="4" w:space="0"/>
              <w:right w:val="single" w:color="auto" w:sz="6" w:space="0"/>
            </w:tcBorders>
            <w:vAlign w:val="center"/>
          </w:tcPr>
          <w:p>
            <w:pPr>
              <w:topLinePunct/>
              <w:spacing w:line="440" w:lineRule="exact"/>
              <w:jc w:val="center"/>
              <w:rPr>
                <w:rFonts w:ascii="宋体"/>
              </w:rPr>
            </w:pPr>
            <w:r>
              <w:rPr>
                <w:rFonts w:hint="eastAsia" w:ascii="宋体" w:hAnsi="宋体" w:cs="宋体"/>
              </w:rPr>
              <w:t>员工总人数</w:t>
            </w:r>
          </w:p>
        </w:tc>
        <w:tc>
          <w:tcPr>
            <w:tcW w:w="2110" w:type="dxa"/>
            <w:tcBorders>
              <w:top w:val="single" w:color="auto" w:sz="6" w:space="0"/>
              <w:left w:val="single" w:color="auto" w:sz="6" w:space="0"/>
              <w:bottom w:val="single" w:color="auto" w:sz="4"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620"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s="宋体"/>
              </w:rPr>
            </w:pPr>
            <w:r>
              <w:rPr>
                <w:rFonts w:hint="eastAsia" w:ascii="宋体" w:hAnsi="宋体"/>
                <w:szCs w:val="21"/>
              </w:rPr>
              <w:t>传真/电话号码</w:t>
            </w:r>
          </w:p>
        </w:tc>
        <w:tc>
          <w:tcPr>
            <w:tcW w:w="3960" w:type="dxa"/>
            <w:gridSpan w:val="5"/>
            <w:tcBorders>
              <w:top w:val="sing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s="宋体"/>
              </w:rPr>
            </w:pPr>
          </w:p>
        </w:tc>
        <w:tc>
          <w:tcPr>
            <w:tcW w:w="1329" w:type="dxa"/>
            <w:tcBorders>
              <w:top w:val="sing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s="宋体"/>
              </w:rPr>
            </w:pPr>
            <w:r>
              <w:rPr>
                <w:rFonts w:hint="eastAsia" w:ascii="宋体" w:hAnsi="宋体" w:cs="宋体"/>
              </w:rPr>
              <w:t>实收资本</w:t>
            </w:r>
          </w:p>
        </w:tc>
        <w:tc>
          <w:tcPr>
            <w:tcW w:w="2110" w:type="dxa"/>
            <w:tcBorders>
              <w:top w:val="sing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营业执照</w:t>
            </w:r>
          </w:p>
        </w:tc>
        <w:tc>
          <w:tcPr>
            <w:tcW w:w="192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注册号码</w:t>
            </w:r>
          </w:p>
        </w:tc>
        <w:tc>
          <w:tcPr>
            <w:tcW w:w="156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rPr>
            </w:pPr>
            <w:r>
              <w:rPr>
                <w:rFonts w:hint="eastAsia" w:ascii="宋体" w:hAnsi="宋体" w:cs="宋体"/>
              </w:rPr>
              <w:t>注册地址</w:t>
            </w: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192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发证机关</w:t>
            </w:r>
          </w:p>
        </w:tc>
        <w:tc>
          <w:tcPr>
            <w:tcW w:w="156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rPr>
            </w:pPr>
            <w:r>
              <w:rPr>
                <w:rFonts w:hint="eastAsia" w:ascii="宋体" w:hAnsi="宋体" w:cs="宋体"/>
              </w:rPr>
              <w:t>发证日期</w:t>
            </w: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192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营业范围（主营）</w:t>
            </w:r>
          </w:p>
        </w:tc>
        <w:tc>
          <w:tcPr>
            <w:tcW w:w="6379"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192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营业范围（兼营）</w:t>
            </w:r>
          </w:p>
        </w:tc>
        <w:tc>
          <w:tcPr>
            <w:tcW w:w="6379"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1" w:hRule="atLeast"/>
        </w:trPr>
        <w:tc>
          <w:tcPr>
            <w:tcW w:w="264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基本账户开户行及帐号</w:t>
            </w:r>
          </w:p>
        </w:tc>
        <w:tc>
          <w:tcPr>
            <w:tcW w:w="6379" w:type="dxa"/>
            <w:gridSpan w:val="6"/>
            <w:tcBorders>
              <w:top w:val="single" w:color="auto" w:sz="6" w:space="0"/>
              <w:left w:val="single" w:color="auto" w:sz="6" w:space="0"/>
              <w:bottom w:val="single" w:color="auto" w:sz="4"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1" w:hRule="atLeast"/>
        </w:trPr>
        <w:tc>
          <w:tcPr>
            <w:tcW w:w="264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s="宋体"/>
              </w:rPr>
            </w:pPr>
            <w:r>
              <w:rPr>
                <w:rFonts w:hint="eastAsia" w:ascii="宋体" w:hAnsi="宋体"/>
                <w:szCs w:val="21"/>
              </w:rPr>
              <w:t>开立基本账户银行地址</w:t>
            </w:r>
          </w:p>
        </w:tc>
        <w:tc>
          <w:tcPr>
            <w:tcW w:w="6379" w:type="dxa"/>
            <w:gridSpan w:val="6"/>
            <w:tcBorders>
              <w:top w:val="single" w:color="auto" w:sz="4" w:space="0"/>
              <w:left w:val="single" w:color="auto" w:sz="6" w:space="0"/>
              <w:bottom w:val="single" w:color="auto" w:sz="6" w:space="0"/>
              <w:right w:val="double" w:color="auto" w:sz="4" w:space="0"/>
            </w:tcBorders>
            <w:vAlign w:val="center"/>
          </w:tcPr>
          <w:p>
            <w:pPr>
              <w:adjustRightInd w:val="0"/>
              <w:snapToGrid w:val="0"/>
              <w:spacing w:beforeLines="50" w:line="360" w:lineRule="auto"/>
              <w:jc w:val="center"/>
              <w:rPr>
                <w:rFonts w:ascii="宋体" w:hAnsi="宋体" w:cs="宋体"/>
              </w:rPr>
            </w:pPr>
            <w:r>
              <w:rPr>
                <w:rFonts w:hint="eastAsia" w:ascii="宋体" w:hAnsi="宋体"/>
                <w:szCs w:val="21"/>
              </w:rPr>
              <w:t>（并提供注册地人民银行开户许可证复印件附后）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trPr>
        <w:tc>
          <w:tcPr>
            <w:tcW w:w="264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税务登记机关</w:t>
            </w:r>
          </w:p>
        </w:tc>
        <w:tc>
          <w:tcPr>
            <w:tcW w:w="6379"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trPr>
        <w:tc>
          <w:tcPr>
            <w:tcW w:w="361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r>
              <w:rPr>
                <w:rFonts w:hint="eastAsia" w:ascii="宋体" w:hAnsi="宋体" w:cs="宋体"/>
              </w:rPr>
              <w:t>发证机关</w:t>
            </w: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r>
              <w:rPr>
                <w:rFonts w:hint="eastAsia" w:ascii="宋体" w:hAnsi="宋体" w:cs="宋体"/>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6" w:hRule="atLeast"/>
        </w:trPr>
        <w:tc>
          <w:tcPr>
            <w:tcW w:w="361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1" w:hRule="atLeast"/>
        </w:trPr>
        <w:tc>
          <w:tcPr>
            <w:tcW w:w="361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1" w:hRule="atLeast"/>
        </w:trPr>
        <w:tc>
          <w:tcPr>
            <w:tcW w:w="361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91" w:hRule="atLeast"/>
        </w:trPr>
        <w:tc>
          <w:tcPr>
            <w:tcW w:w="361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rPr>
            </w:pPr>
          </w:p>
        </w:tc>
        <w:tc>
          <w:tcPr>
            <w:tcW w:w="343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rPr>
            </w:pPr>
          </w:p>
        </w:tc>
      </w:tr>
    </w:tbl>
    <w:p>
      <w:pPr>
        <w:adjustRightInd w:val="0"/>
        <w:snapToGrid w:val="0"/>
        <w:spacing w:beforeLines="50" w:line="360" w:lineRule="auto"/>
        <w:rPr>
          <w:rFonts w:ascii="宋体" w:hAnsi="宋体"/>
          <w:szCs w:val="21"/>
        </w:rPr>
      </w:pPr>
      <w:r>
        <w:rPr>
          <w:rFonts w:hint="eastAsia" w:ascii="宋体" w:hAnsi="宋体"/>
          <w:szCs w:val="21"/>
        </w:rPr>
        <w:t>2、投标人其它情况</w:t>
      </w:r>
    </w:p>
    <w:p>
      <w:pPr>
        <w:adjustRightInd w:val="0"/>
        <w:snapToGrid w:val="0"/>
        <w:spacing w:beforeLines="50" w:line="360" w:lineRule="auto"/>
        <w:ind w:firstLine="420" w:firstLineChars="200"/>
        <w:rPr>
          <w:rFonts w:ascii="宋体" w:hAnsi="宋体"/>
          <w:szCs w:val="21"/>
        </w:rPr>
      </w:pPr>
      <w:bookmarkStart w:id="285" w:name="_Toc6998_WPSOffice_Level1"/>
      <w:bookmarkStart w:id="286" w:name="_Toc21774_WPSOffice_Level1"/>
      <w:r>
        <w:rPr>
          <w:rFonts w:hint="eastAsia" w:ascii="宋体" w:hAnsi="宋体"/>
          <w:szCs w:val="21"/>
        </w:rPr>
        <w:t>(1) 近期资产负债表（到</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日止）</w:t>
      </w:r>
      <w:bookmarkEnd w:id="285"/>
      <w:bookmarkEnd w:id="286"/>
    </w:p>
    <w:p>
      <w:pPr>
        <w:adjustRightInd w:val="0"/>
        <w:snapToGrid w:val="0"/>
        <w:spacing w:beforeLines="50" w:line="360" w:lineRule="auto"/>
        <w:ind w:firstLine="630" w:firstLineChars="300"/>
        <w:rPr>
          <w:rFonts w:ascii="宋体" w:hAnsi="宋体"/>
          <w:szCs w:val="21"/>
          <w:u w:val="single"/>
        </w:rPr>
      </w:pPr>
      <w:r>
        <w:rPr>
          <w:rFonts w:hint="eastAsia" w:ascii="宋体" w:hAnsi="宋体"/>
          <w:szCs w:val="21"/>
        </w:rPr>
        <w:t>①固定资产：</w:t>
      </w:r>
      <w:r>
        <w:rPr>
          <w:rFonts w:hint="eastAsia" w:ascii="宋体" w:hAnsi="宋体"/>
          <w:szCs w:val="21"/>
          <w:u w:val="single"/>
        </w:rPr>
        <w:t xml:space="preserve">                                                      </w:t>
      </w:r>
    </w:p>
    <w:p>
      <w:pPr>
        <w:adjustRightInd w:val="0"/>
        <w:snapToGrid w:val="0"/>
        <w:spacing w:beforeLines="50" w:line="360" w:lineRule="auto"/>
        <w:ind w:firstLine="630" w:firstLineChars="300"/>
        <w:rPr>
          <w:rFonts w:ascii="宋体" w:hAnsi="宋体"/>
          <w:szCs w:val="21"/>
          <w:u w:val="single"/>
        </w:rPr>
      </w:pPr>
      <w:r>
        <w:rPr>
          <w:rFonts w:hint="eastAsia" w:ascii="宋体" w:hAnsi="宋体"/>
          <w:szCs w:val="21"/>
        </w:rPr>
        <w:t>②流动资产：</w:t>
      </w:r>
      <w:r>
        <w:rPr>
          <w:rFonts w:hint="eastAsia" w:ascii="宋体" w:hAnsi="宋体"/>
          <w:szCs w:val="21"/>
          <w:u w:val="single"/>
        </w:rPr>
        <w:t xml:space="preserve">                                                      </w:t>
      </w:r>
    </w:p>
    <w:p>
      <w:pPr>
        <w:adjustRightInd w:val="0"/>
        <w:snapToGrid w:val="0"/>
        <w:spacing w:beforeLines="50" w:line="360" w:lineRule="auto"/>
        <w:ind w:firstLine="630" w:firstLineChars="300"/>
        <w:rPr>
          <w:rFonts w:ascii="宋体" w:hAnsi="宋体"/>
          <w:szCs w:val="21"/>
          <w:u w:val="single"/>
        </w:rPr>
      </w:pPr>
      <w:r>
        <w:rPr>
          <w:rFonts w:hint="eastAsia" w:ascii="宋体" w:hAnsi="宋体"/>
          <w:szCs w:val="21"/>
        </w:rPr>
        <w:t>③长期负债：</w:t>
      </w:r>
      <w:r>
        <w:rPr>
          <w:rFonts w:hint="eastAsia" w:ascii="宋体" w:hAnsi="宋体"/>
          <w:szCs w:val="21"/>
          <w:u w:val="single"/>
        </w:rPr>
        <w:t xml:space="preserve">                                                      </w:t>
      </w:r>
    </w:p>
    <w:p>
      <w:pPr>
        <w:adjustRightInd w:val="0"/>
        <w:snapToGrid w:val="0"/>
        <w:spacing w:beforeLines="50" w:line="360" w:lineRule="auto"/>
        <w:ind w:firstLine="630" w:firstLineChars="300"/>
        <w:rPr>
          <w:rFonts w:ascii="宋体" w:hAnsi="宋体"/>
          <w:szCs w:val="21"/>
          <w:u w:val="single"/>
        </w:rPr>
      </w:pPr>
      <w:r>
        <w:rPr>
          <w:rFonts w:hint="eastAsia" w:ascii="宋体" w:hAnsi="宋体"/>
          <w:szCs w:val="21"/>
        </w:rPr>
        <w:t>④流动负债：</w:t>
      </w:r>
      <w:r>
        <w:rPr>
          <w:rFonts w:hint="eastAsia" w:ascii="宋体" w:hAnsi="宋体"/>
          <w:szCs w:val="21"/>
          <w:u w:val="single"/>
        </w:rPr>
        <w:t xml:space="preserve">                                                      </w:t>
      </w:r>
    </w:p>
    <w:p>
      <w:pPr>
        <w:adjustRightInd w:val="0"/>
        <w:snapToGrid w:val="0"/>
        <w:spacing w:beforeLines="50" w:line="360" w:lineRule="auto"/>
        <w:ind w:firstLine="630" w:firstLineChars="300"/>
        <w:rPr>
          <w:rFonts w:ascii="宋体" w:hAnsi="宋体"/>
          <w:szCs w:val="21"/>
        </w:rPr>
      </w:pPr>
      <w:r>
        <w:rPr>
          <w:rFonts w:hint="eastAsia" w:ascii="宋体" w:hAnsi="宋体"/>
          <w:szCs w:val="21"/>
        </w:rPr>
        <w:t>⑤净值：</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3.近年营业额：</w:t>
      </w:r>
    </w:p>
    <w:tbl>
      <w:tblPr>
        <w:tblStyle w:val="40"/>
        <w:tblW w:w="7574" w:type="dxa"/>
        <w:tblInd w:w="10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487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2700" w:type="dxa"/>
          </w:tcPr>
          <w:p>
            <w:pPr>
              <w:adjustRightInd w:val="0"/>
              <w:snapToGrid w:val="0"/>
              <w:spacing w:beforeLines="50" w:line="360" w:lineRule="auto"/>
              <w:jc w:val="center"/>
              <w:rPr>
                <w:rFonts w:ascii="宋体" w:hAnsi="宋体"/>
                <w:szCs w:val="21"/>
              </w:rPr>
            </w:pPr>
            <w:r>
              <w:rPr>
                <w:rFonts w:hint="eastAsia" w:ascii="宋体" w:hAnsi="宋体"/>
                <w:szCs w:val="21"/>
              </w:rPr>
              <w:t>年度</w:t>
            </w:r>
          </w:p>
        </w:tc>
        <w:tc>
          <w:tcPr>
            <w:tcW w:w="4874" w:type="dxa"/>
          </w:tcPr>
          <w:p>
            <w:pPr>
              <w:adjustRightInd w:val="0"/>
              <w:snapToGrid w:val="0"/>
              <w:spacing w:beforeLines="50" w:line="360" w:lineRule="auto"/>
              <w:jc w:val="center"/>
              <w:rPr>
                <w:rFonts w:ascii="宋体" w:hAnsi="宋体"/>
                <w:szCs w:val="21"/>
              </w:rPr>
            </w:pPr>
            <w:r>
              <w:rPr>
                <w:rFonts w:hint="eastAsia" w:ascii="宋体" w:hAnsi="宋体"/>
                <w:szCs w:val="21"/>
              </w:rPr>
              <w:t>总额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2700" w:type="dxa"/>
          </w:tcPr>
          <w:p>
            <w:pPr>
              <w:adjustRightInd w:val="0"/>
              <w:snapToGrid w:val="0"/>
              <w:spacing w:beforeLines="50" w:line="360" w:lineRule="auto"/>
              <w:rPr>
                <w:rFonts w:ascii="宋体" w:hAnsi="宋体"/>
                <w:szCs w:val="21"/>
              </w:rPr>
            </w:pPr>
          </w:p>
        </w:tc>
        <w:tc>
          <w:tcPr>
            <w:tcW w:w="4874" w:type="dxa"/>
          </w:tcPr>
          <w:p>
            <w:pPr>
              <w:adjustRightInd w:val="0"/>
              <w:snapToGrid w:val="0"/>
              <w:spacing w:beforeLines="50" w:line="360" w:lineRule="auto"/>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2700" w:type="dxa"/>
          </w:tcPr>
          <w:p>
            <w:pPr>
              <w:adjustRightInd w:val="0"/>
              <w:snapToGrid w:val="0"/>
              <w:spacing w:beforeLines="50" w:line="360" w:lineRule="auto"/>
              <w:rPr>
                <w:rFonts w:ascii="宋体" w:hAnsi="宋体"/>
                <w:szCs w:val="21"/>
              </w:rPr>
            </w:pPr>
          </w:p>
        </w:tc>
        <w:tc>
          <w:tcPr>
            <w:tcW w:w="4874" w:type="dxa"/>
          </w:tcPr>
          <w:p>
            <w:pPr>
              <w:adjustRightInd w:val="0"/>
              <w:snapToGrid w:val="0"/>
              <w:spacing w:beforeLines="50" w:line="360" w:lineRule="auto"/>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2700" w:type="dxa"/>
          </w:tcPr>
          <w:p>
            <w:pPr>
              <w:adjustRightInd w:val="0"/>
              <w:snapToGrid w:val="0"/>
              <w:spacing w:beforeLines="50" w:line="360" w:lineRule="auto"/>
              <w:rPr>
                <w:rFonts w:ascii="宋体" w:hAnsi="宋体"/>
                <w:szCs w:val="21"/>
              </w:rPr>
            </w:pPr>
          </w:p>
        </w:tc>
        <w:tc>
          <w:tcPr>
            <w:tcW w:w="4874" w:type="dxa"/>
          </w:tcPr>
          <w:p>
            <w:pPr>
              <w:adjustRightInd w:val="0"/>
              <w:snapToGrid w:val="0"/>
              <w:spacing w:beforeLines="50" w:line="360" w:lineRule="auto"/>
              <w:rPr>
                <w:rFonts w:ascii="宋体" w:hAnsi="宋体"/>
                <w:szCs w:val="21"/>
              </w:rPr>
            </w:pPr>
          </w:p>
        </w:tc>
      </w:tr>
    </w:tbl>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4.其它情况：</w:t>
      </w:r>
      <w:r>
        <w:rPr>
          <w:rFonts w:hint="eastAsia" w:ascii="宋体" w:hAnsi="宋体"/>
          <w:szCs w:val="21"/>
          <w:u w:val="single"/>
        </w:rPr>
        <w:t>组织机构、技术力量情况等</w:t>
      </w:r>
      <w:r>
        <w:rPr>
          <w:rFonts w:hint="eastAsia" w:ascii="宋体" w:hAnsi="宋体"/>
          <w:szCs w:val="21"/>
        </w:rPr>
        <w:t xml:space="preserve"> </w:t>
      </w:r>
    </w:p>
    <w:p>
      <w:pPr>
        <w:adjustRightInd w:val="0"/>
        <w:snapToGrid w:val="0"/>
        <w:spacing w:beforeLines="50" w:line="360" w:lineRule="auto"/>
        <w:rPr>
          <w:rFonts w:ascii="宋体" w:hAnsi="宋体"/>
          <w:b/>
          <w:szCs w:val="21"/>
        </w:rPr>
      </w:pPr>
      <w:r>
        <w:rPr>
          <w:rFonts w:hint="eastAsia" w:ascii="宋体" w:hAnsi="宋体"/>
          <w:szCs w:val="21"/>
        </w:rPr>
        <w:t>5.提供营业执照副本及其年检合格（自然人为投标人时，提供自然人身份证明）等证明材料的复印件。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兹声明上述数据和资料是真实、正确的，我们同意遵照贵方要求出示有关证明文件。</w:t>
      </w:r>
    </w:p>
    <w:p>
      <w:pPr>
        <w:widowControl/>
        <w:adjustRightInd w:val="0"/>
        <w:snapToGrid w:val="0"/>
        <w:spacing w:beforeLines="50" w:line="360" w:lineRule="auto"/>
        <w:ind w:firstLine="420" w:firstLineChars="200"/>
        <w:rPr>
          <w:rFonts w:ascii="仿宋_GB2312" w:hAnsi="仿宋_GB2312" w:eastAsia="仿宋_GB2312"/>
          <w:szCs w:val="21"/>
        </w:rPr>
      </w:pPr>
    </w:p>
    <w:p>
      <w:pPr>
        <w:widowControl/>
        <w:adjustRightInd w:val="0"/>
        <w:snapToGrid w:val="0"/>
        <w:spacing w:beforeLines="50" w:line="360" w:lineRule="auto"/>
        <w:rPr>
          <w:rFonts w:ascii="仿宋_GB2312" w:hAnsi="仿宋_GB2312" w:eastAsia="仿宋_GB2312"/>
          <w:szCs w:val="21"/>
        </w:rPr>
      </w:pPr>
    </w:p>
    <w:p>
      <w:pPr>
        <w:widowControl/>
        <w:adjustRightInd w:val="0"/>
        <w:snapToGrid w:val="0"/>
        <w:spacing w:beforeLines="50" w:line="360" w:lineRule="auto"/>
        <w:ind w:firstLine="420" w:firstLineChars="200"/>
        <w:rPr>
          <w:rFonts w:ascii="仿宋_GB2312" w:hAnsi="仿宋_GB2312" w:eastAsia="仿宋_GB2312"/>
          <w:szCs w:val="21"/>
        </w:rPr>
      </w:pPr>
    </w:p>
    <w:p>
      <w:pPr>
        <w:adjustRightInd w:val="0"/>
        <w:snapToGrid w:val="0"/>
        <w:spacing w:beforeLines="50" w:line="360" w:lineRule="auto"/>
        <w:rPr>
          <w:rFonts w:ascii="宋体" w:hAnsi="宋体"/>
          <w:szCs w:val="21"/>
        </w:rPr>
      </w:pPr>
      <w:r>
        <w:rPr>
          <w:rFonts w:hint="eastAsia" w:ascii="宋体" w:hAnsi="宋体"/>
          <w:szCs w:val="21"/>
        </w:rPr>
        <w:t>投标人名称（单位章）：</w:t>
      </w:r>
    </w:p>
    <w:p>
      <w:pPr>
        <w:adjustRightInd w:val="0"/>
        <w:snapToGrid w:val="0"/>
        <w:spacing w:beforeLines="50" w:line="360" w:lineRule="auto"/>
        <w:rPr>
          <w:rFonts w:ascii="宋体" w:hAnsi="宋体"/>
          <w:szCs w:val="21"/>
        </w:rPr>
      </w:pPr>
      <w:r>
        <w:rPr>
          <w:rFonts w:hint="eastAsia" w:ascii="宋体" w:hAnsi="宋体"/>
          <w:szCs w:val="21"/>
        </w:rPr>
        <w:t>法定代表人或其授权的代理人(签字)：</w:t>
      </w:r>
      <w:r>
        <w:rPr>
          <w:rFonts w:hint="eastAsia" w:ascii="宋体" w:hAnsi="宋体"/>
          <w:szCs w:val="21"/>
          <w:u w:val="single"/>
        </w:rPr>
        <w:t xml:space="preserve">                </w:t>
      </w:r>
    </w:p>
    <w:p>
      <w:pPr>
        <w:rPr>
          <w:rFonts w:ascii="宋体" w:hAnsi="宋体"/>
          <w:szCs w:val="21"/>
        </w:rPr>
      </w:pPr>
      <w:bookmarkStart w:id="287" w:name="_Toc418504664"/>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pStyle w:val="4"/>
        <w:rPr>
          <w:rFonts w:ascii="黑体" w:hAnsi="黑体" w:eastAsia="黑体" w:cs="仿宋"/>
          <w:sz w:val="28"/>
          <w:szCs w:val="21"/>
        </w:rPr>
      </w:pPr>
      <w:bookmarkStart w:id="288" w:name="_Toc28337_WPSOffice_Level1"/>
      <w:bookmarkStart w:id="289" w:name="_Toc536603257"/>
      <w:bookmarkStart w:id="290" w:name="_Toc16593_WPSOffice_Level3"/>
      <w:bookmarkStart w:id="291" w:name="_Toc8469_WPSOffice_Level1"/>
      <w:r>
        <w:rPr>
          <w:rFonts w:hint="eastAsia" w:ascii="黑体" w:hAnsi="黑体" w:eastAsia="黑体" w:cs="仿宋"/>
          <w:sz w:val="28"/>
          <w:szCs w:val="21"/>
        </w:rPr>
        <w:t>六</w:t>
      </w:r>
      <w:bookmarkEnd w:id="283"/>
      <w:bookmarkEnd w:id="284"/>
      <w:bookmarkEnd w:id="287"/>
      <w:r>
        <w:rPr>
          <w:rFonts w:hint="eastAsia" w:ascii="黑体" w:hAnsi="黑体" w:eastAsia="黑体" w:cs="仿宋"/>
          <w:sz w:val="28"/>
          <w:szCs w:val="21"/>
        </w:rPr>
        <w:t>（二）、附件3  财务状况报告、依法缴纳税收和社会保险费的证明材料</w:t>
      </w:r>
      <w:bookmarkEnd w:id="288"/>
      <w:bookmarkEnd w:id="289"/>
      <w:bookmarkEnd w:id="290"/>
      <w:bookmarkEnd w:id="291"/>
    </w:p>
    <w:p>
      <w:pPr>
        <w:rPr>
          <w:rFonts w:ascii="宋体" w:hAnsi="宋体"/>
          <w:b/>
          <w:sz w:val="32"/>
          <w:szCs w:val="32"/>
        </w:rPr>
      </w:pPr>
    </w:p>
    <w:p>
      <w:pPr>
        <w:spacing w:line="480" w:lineRule="exact"/>
        <w:rPr>
          <w:rFonts w:ascii="宋体" w:hAnsi="宋体"/>
          <w:sz w:val="24"/>
        </w:rPr>
      </w:pPr>
      <w:r>
        <w:rPr>
          <w:rFonts w:hint="eastAsia" w:ascii="宋体" w:hAnsi="宋体"/>
          <w:b/>
          <w:sz w:val="24"/>
        </w:rPr>
        <w:t>备注：</w:t>
      </w:r>
      <w:r>
        <w:rPr>
          <w:rFonts w:hint="eastAsia" w:ascii="宋体" w:hAnsi="宋体"/>
          <w:sz w:val="24"/>
        </w:rPr>
        <w:t>1、提供上年度经会计师事务所审计的财务会计报表，包括资产负债、损益表和审计报告的复印件。</w:t>
      </w:r>
    </w:p>
    <w:p>
      <w:pPr>
        <w:spacing w:line="480" w:lineRule="exact"/>
        <w:ind w:firstLine="720" w:firstLineChars="300"/>
        <w:rPr>
          <w:rFonts w:ascii="宋体" w:hAnsi="宋体"/>
          <w:sz w:val="24"/>
        </w:rPr>
      </w:pPr>
      <w:bookmarkStart w:id="292" w:name="_Toc6394_WPSOffice_Level3"/>
      <w:bookmarkStart w:id="293" w:name="_Toc1594_WPSOffice_Level1"/>
      <w:bookmarkStart w:id="294" w:name="_Toc4083_WPSOffice_Level1"/>
      <w:bookmarkStart w:id="295" w:name="_Toc14624_WPSOffice_Level1"/>
      <w:r>
        <w:rPr>
          <w:rFonts w:hint="eastAsia" w:ascii="宋体" w:hAnsi="宋体"/>
          <w:sz w:val="24"/>
        </w:rPr>
        <w:t>2、提供依法缴纳税收和社会保险费证明材料的复印件。</w:t>
      </w:r>
      <w:bookmarkEnd w:id="292"/>
      <w:bookmarkEnd w:id="293"/>
      <w:bookmarkEnd w:id="294"/>
      <w:bookmarkEnd w:id="295"/>
    </w:p>
    <w:p>
      <w:pPr>
        <w:rPr>
          <w:rFonts w:ascii="宋体" w:hAnsi="宋体"/>
          <w:b/>
          <w:sz w:val="24"/>
        </w:rPr>
      </w:pPr>
      <w:r>
        <w:rPr>
          <w:rFonts w:hint="eastAsia" w:ascii="宋体" w:hAnsi="宋体"/>
          <w:sz w:val="24"/>
        </w:rPr>
        <w:t xml:space="preserve">     </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pStyle w:val="4"/>
        <w:rPr>
          <w:rFonts w:ascii="黑体" w:hAnsi="黑体" w:eastAsia="黑体" w:cs="仿宋"/>
          <w:sz w:val="28"/>
          <w:szCs w:val="21"/>
        </w:rPr>
      </w:pPr>
      <w:bookmarkStart w:id="296" w:name="_Toc21836_WPSOffice_Level1"/>
      <w:bookmarkStart w:id="297" w:name="_Toc29045_WPSOffice_Level3"/>
      <w:bookmarkStart w:id="298" w:name="_Toc21889_WPSOffice_Level1"/>
      <w:bookmarkStart w:id="299" w:name="_Toc536603258"/>
      <w:r>
        <w:rPr>
          <w:rFonts w:hint="eastAsia" w:ascii="黑体" w:hAnsi="黑体" w:eastAsia="黑体" w:cs="仿宋"/>
          <w:sz w:val="28"/>
          <w:szCs w:val="21"/>
        </w:rPr>
        <w:t>六（二）、附件4  参加政府采购活动前三年内在经营活动中没有重大违法记录的书面声明</w:t>
      </w:r>
      <w:bookmarkEnd w:id="296"/>
      <w:bookmarkEnd w:id="297"/>
      <w:bookmarkEnd w:id="298"/>
      <w:bookmarkEnd w:id="299"/>
    </w:p>
    <w:p>
      <w:pPr>
        <w:adjustRightInd w:val="0"/>
        <w:snapToGrid w:val="0"/>
        <w:spacing w:line="360" w:lineRule="auto"/>
        <w:rPr>
          <w:rFonts w:ascii="宋体" w:hAnsi="宋体"/>
          <w:sz w:val="28"/>
          <w:szCs w:val="28"/>
        </w:rPr>
      </w:pPr>
    </w:p>
    <w:p>
      <w:pPr>
        <w:rPr>
          <w:rFonts w:ascii="宋体" w:hAnsi="宋体"/>
          <w:sz w:val="24"/>
        </w:rPr>
      </w:pPr>
    </w:p>
    <w:p>
      <w:pPr>
        <w:rPr>
          <w:rFonts w:ascii="宋体" w:hAnsi="宋体"/>
          <w:szCs w:val="21"/>
        </w:rPr>
      </w:pPr>
      <w:bookmarkStart w:id="300" w:name="_Toc418504667"/>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(采购代理机构)：</w:t>
      </w:r>
    </w:p>
    <w:p>
      <w:pPr>
        <w:adjustRightInd w:val="0"/>
        <w:snapToGrid w:val="0"/>
        <w:spacing w:beforeLines="50" w:line="360" w:lineRule="auto"/>
        <w:ind w:left="-88" w:leftChars="-42"/>
        <w:rPr>
          <w:rFonts w:ascii="宋体" w:hAnsi="宋体"/>
          <w:szCs w:val="21"/>
        </w:rPr>
      </w:pPr>
    </w:p>
    <w:p>
      <w:pPr>
        <w:widowControl/>
        <w:adjustRightInd w:val="0"/>
        <w:snapToGrid w:val="0"/>
        <w:spacing w:beforeLines="50" w:line="360" w:lineRule="auto"/>
        <w:ind w:firstLine="420" w:firstLineChars="200"/>
        <w:rPr>
          <w:rFonts w:ascii="宋体" w:hAnsi="宋体"/>
          <w:szCs w:val="21"/>
        </w:rPr>
      </w:pPr>
      <w:r>
        <w:rPr>
          <w:rFonts w:hint="eastAsia" w:ascii="宋体" w:hAnsi="宋体"/>
          <w:bCs/>
          <w:szCs w:val="21"/>
        </w:rPr>
        <w:t>我单位在</w:t>
      </w:r>
      <w:r>
        <w:rPr>
          <w:rFonts w:hint="eastAsia" w:ascii="宋体" w:hAnsi="宋体"/>
          <w:szCs w:val="21"/>
        </w:rPr>
        <w:t>参加采购活动前三年内在经营活动中没有政府采购法第二十二条第一款第（五）项所称重大违法记录，包括：</w:t>
      </w:r>
    </w:p>
    <w:p>
      <w:pPr>
        <w:numPr>
          <w:ilvl w:val="0"/>
          <w:numId w:val="1"/>
        </w:numPr>
        <w:adjustRightInd w:val="0"/>
        <w:snapToGrid w:val="0"/>
        <w:spacing w:line="360" w:lineRule="auto"/>
        <w:jc w:val="left"/>
        <w:rPr>
          <w:rFonts w:ascii="宋体" w:hAnsi="宋体"/>
          <w:szCs w:val="21"/>
        </w:rPr>
      </w:pPr>
      <w:r>
        <w:rPr>
          <w:rFonts w:hint="eastAsia" w:ascii="宋体" w:hAnsi="宋体"/>
          <w:szCs w:val="21"/>
        </w:rPr>
        <w:t>我单位或者其法定代表人、董事、监事、高级管理人员因经营活动中的违法行为受到行政处罚，但警告和罚款额在三万元以下的行政处罚除外；</w:t>
      </w:r>
    </w:p>
    <w:p>
      <w:pPr>
        <w:numPr>
          <w:ilvl w:val="0"/>
          <w:numId w:val="1"/>
        </w:numPr>
        <w:adjustRightInd w:val="0"/>
        <w:snapToGrid w:val="0"/>
        <w:spacing w:line="360" w:lineRule="auto"/>
        <w:rPr>
          <w:rFonts w:ascii="宋体" w:hAnsi="宋体"/>
          <w:szCs w:val="21"/>
        </w:rPr>
      </w:pPr>
      <w:r>
        <w:rPr>
          <w:rFonts w:hint="eastAsia" w:ascii="宋体" w:hAnsi="宋体"/>
          <w:szCs w:val="21"/>
        </w:rPr>
        <w:t>我单位或者其法定代表人、董事、监事、高级管理人员因经营活动中的违法行为受到刑事处罚。</w:t>
      </w:r>
    </w:p>
    <w:p>
      <w:pPr>
        <w:widowControl/>
        <w:adjustRightInd w:val="0"/>
        <w:snapToGrid w:val="0"/>
        <w:spacing w:beforeLines="50" w:line="360" w:lineRule="auto"/>
        <w:ind w:firstLine="200"/>
        <w:rPr>
          <w:rFonts w:ascii="宋体" w:hAnsi="宋体"/>
          <w:szCs w:val="21"/>
        </w:rPr>
      </w:pPr>
      <w:r>
        <w:rPr>
          <w:rFonts w:hint="eastAsia" w:ascii="宋体" w:hAnsi="宋体"/>
          <w:szCs w:val="21"/>
        </w:rPr>
        <w:t xml:space="preserve">     特此声明！</w:t>
      </w:r>
    </w:p>
    <w:p>
      <w:pPr>
        <w:widowControl/>
        <w:adjustRightInd w:val="0"/>
        <w:snapToGrid w:val="0"/>
        <w:spacing w:beforeLines="50" w:line="360" w:lineRule="auto"/>
        <w:ind w:firstLine="420"/>
        <w:rPr>
          <w:rFonts w:ascii="宋体" w:hAnsi="宋体"/>
          <w:szCs w:val="21"/>
        </w:rPr>
      </w:pPr>
    </w:p>
    <w:p>
      <w:pPr>
        <w:widowControl/>
        <w:adjustRightInd w:val="0"/>
        <w:snapToGrid w:val="0"/>
        <w:spacing w:beforeLines="50" w:line="360" w:lineRule="auto"/>
        <w:ind w:firstLine="420"/>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 xml:space="preserve">投标人名称（单位章）： </w:t>
      </w:r>
    </w:p>
    <w:p>
      <w:pPr>
        <w:adjustRightInd w:val="0"/>
        <w:snapToGrid w:val="0"/>
        <w:spacing w:beforeLines="50" w:line="360" w:lineRule="auto"/>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ascii="宋体" w:hAnsi="宋体"/>
          <w:szCs w:val="21"/>
        </w:rPr>
        <w:t xml:space="preserve"> </w:t>
      </w:r>
      <w:bookmarkEnd w:id="300"/>
      <w:bookmarkStart w:id="301" w:name="_Toc28880_WPSOffice_Level3"/>
      <w:bookmarkStart w:id="302" w:name="_Toc31444_WPSOffice_Level1"/>
      <w:bookmarkStart w:id="303" w:name="_Toc29122_WPSOffice_Level1"/>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pStyle w:val="4"/>
        <w:rPr>
          <w:rFonts w:ascii="黑体" w:hAnsi="黑体" w:eastAsia="黑体" w:cs="仿宋"/>
          <w:sz w:val="28"/>
          <w:szCs w:val="21"/>
        </w:rPr>
      </w:pPr>
      <w:bookmarkStart w:id="304" w:name="_Toc536603259"/>
      <w:r>
        <w:rPr>
          <w:rFonts w:hint="eastAsia" w:ascii="黑体" w:hAnsi="黑体" w:eastAsia="黑体" w:cs="仿宋"/>
          <w:sz w:val="28"/>
          <w:szCs w:val="21"/>
        </w:rPr>
        <w:t>六（二）、附件5  法律、行政法规规定的其他条件证明材料</w:t>
      </w:r>
      <w:bookmarkEnd w:id="301"/>
      <w:bookmarkEnd w:id="302"/>
      <w:bookmarkEnd w:id="303"/>
      <w:bookmarkEnd w:id="304"/>
    </w:p>
    <w:p>
      <w:pPr>
        <w:rPr>
          <w:rFonts w:ascii="宋体" w:hAnsi="宋体"/>
          <w:sz w:val="24"/>
        </w:rPr>
      </w:pPr>
    </w:p>
    <w:p>
      <w:pPr>
        <w:rPr>
          <w:rFonts w:ascii="宋体" w:hAnsi="宋体"/>
          <w:b/>
          <w:sz w:val="24"/>
        </w:rPr>
      </w:pPr>
    </w:p>
    <w:p>
      <w:pPr>
        <w:adjustRightInd w:val="0"/>
        <w:snapToGrid w:val="0"/>
        <w:spacing w:line="360" w:lineRule="auto"/>
        <w:rPr>
          <w:rFonts w:ascii="宋体" w:hAnsi="宋体"/>
          <w:sz w:val="24"/>
        </w:rPr>
      </w:pPr>
      <w:bookmarkStart w:id="305" w:name="_Toc418504669"/>
      <w:r>
        <w:rPr>
          <w:rFonts w:hint="eastAsia" w:ascii="宋体" w:hAnsi="宋体"/>
          <w:b/>
          <w:sz w:val="24"/>
        </w:rPr>
        <w:t>备注</w:t>
      </w:r>
      <w:r>
        <w:rPr>
          <w:rFonts w:hint="eastAsia" w:ascii="宋体" w:hAnsi="宋体"/>
          <w:sz w:val="24"/>
        </w:rPr>
        <w:t>：提供第一章“投标须知”第3.1</w:t>
      </w:r>
      <w:r>
        <w:rPr>
          <w:rFonts w:hint="eastAsia" w:ascii="宋体" w:hAnsi="宋体" w:cs="宋体"/>
          <w:kern w:val="0"/>
          <w:sz w:val="24"/>
          <w:lang w:val="zh-CN"/>
        </w:rPr>
        <w:t>款</w:t>
      </w:r>
      <w:r>
        <w:rPr>
          <w:rFonts w:hint="eastAsia" w:ascii="宋体" w:hAnsi="宋体"/>
          <w:sz w:val="24"/>
        </w:rPr>
        <w:t>规定的资质（包括</w:t>
      </w:r>
      <w:bookmarkEnd w:id="305"/>
      <w:r>
        <w:rPr>
          <w:rFonts w:hint="eastAsia" w:ascii="宋体" w:hAnsi="宋体"/>
          <w:sz w:val="24"/>
        </w:rPr>
        <w:t>投标人从事投标服务的销售或经营、集成等）证明材料的复印件。</w:t>
      </w:r>
      <w:r>
        <w:rPr>
          <w:rFonts w:ascii="宋体" w:hAnsi="宋体"/>
          <w:sz w:val="24"/>
        </w:rPr>
        <w:t xml:space="preserve"> </w:t>
      </w:r>
      <w:bookmarkStart w:id="306" w:name="_Toc23425_WPSOffice_Level1"/>
      <w:bookmarkStart w:id="307" w:name="_Toc26416_WPSOffice_Level1"/>
      <w:bookmarkStart w:id="308" w:name="_Toc5454_WPSOffice_Level3"/>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pStyle w:val="4"/>
        <w:rPr>
          <w:rFonts w:ascii="黑体" w:hAnsi="黑体" w:eastAsia="黑体" w:cs="仿宋"/>
          <w:sz w:val="28"/>
          <w:szCs w:val="21"/>
        </w:rPr>
      </w:pPr>
      <w:bookmarkStart w:id="309" w:name="_Toc536603260"/>
      <w:r>
        <w:rPr>
          <w:rFonts w:hint="eastAsia" w:ascii="黑体" w:hAnsi="黑体" w:eastAsia="黑体" w:cs="仿宋"/>
          <w:sz w:val="28"/>
          <w:szCs w:val="21"/>
        </w:rPr>
        <w:t>六（二）、附件6  中小企业声明函</w:t>
      </w:r>
      <w:bookmarkEnd w:id="306"/>
      <w:bookmarkEnd w:id="307"/>
      <w:bookmarkEnd w:id="308"/>
      <w:bookmarkEnd w:id="309"/>
    </w:p>
    <w:p>
      <w:pPr>
        <w:widowControl/>
        <w:adjustRightInd w:val="0"/>
        <w:snapToGrid w:val="0"/>
        <w:spacing w:line="360" w:lineRule="auto"/>
        <w:rPr>
          <w:rFonts w:ascii="宋体" w:hAnsi="宋体" w:cs="宋体"/>
          <w:kern w:val="0"/>
          <w:sz w:val="24"/>
        </w:rPr>
      </w:pPr>
    </w:p>
    <w:p>
      <w:pPr>
        <w:widowControl/>
        <w:adjustRightInd w:val="0"/>
        <w:snapToGrid w:val="0"/>
        <w:spacing w:line="360" w:lineRule="auto"/>
        <w:ind w:firstLine="504" w:firstLineChars="200"/>
        <w:jc w:val="left"/>
        <w:rPr>
          <w:rFonts w:ascii="宋体" w:hAnsi="宋体" w:cs="宋体"/>
          <w:spacing w:val="6"/>
          <w:kern w:val="0"/>
          <w:sz w:val="24"/>
        </w:rPr>
      </w:pPr>
    </w:p>
    <w:p>
      <w:pPr>
        <w:widowControl/>
        <w:adjustRightInd w:val="0"/>
        <w:snapToGrid w:val="0"/>
        <w:spacing w:beforeLines="50" w:line="360" w:lineRule="auto"/>
        <w:ind w:firstLine="444" w:firstLineChars="200"/>
        <w:jc w:val="left"/>
        <w:rPr>
          <w:rFonts w:ascii="宋体" w:hAnsi="宋体" w:cs="宋体"/>
          <w:kern w:val="0"/>
          <w:szCs w:val="21"/>
        </w:rPr>
      </w:pPr>
      <w:r>
        <w:rPr>
          <w:rFonts w:hint="eastAsia" w:ascii="宋体" w:hAnsi="宋体" w:cs="宋体"/>
          <w:spacing w:val="6"/>
          <w:kern w:val="0"/>
          <w:szCs w:val="21"/>
        </w:rPr>
        <w:t>本公司郑重声明，根据《政府采购促进中小企业发展暂行办法》（财库[2011]181号）的规定，本公司为</w:t>
      </w:r>
      <w:bookmarkStart w:id="310" w:name="OLE_LINK2"/>
      <w:r>
        <w:rPr>
          <w:rFonts w:hint="eastAsia" w:ascii="宋体" w:hAnsi="宋体" w:cs="宋体"/>
          <w:spacing w:val="6"/>
          <w:kern w:val="0"/>
          <w:szCs w:val="21"/>
          <w:u w:val="single"/>
        </w:rPr>
        <w:t xml:space="preserve">    </w:t>
      </w:r>
      <w:r>
        <w:rPr>
          <w:rFonts w:hint="eastAsia" w:ascii="宋体" w:hAnsi="宋体" w:cs="宋体"/>
          <w:spacing w:val="6"/>
          <w:kern w:val="0"/>
          <w:szCs w:val="21"/>
        </w:rPr>
        <w:t>（请填写：中型、小型、微型）企业</w:t>
      </w:r>
      <w:bookmarkEnd w:id="310"/>
      <w:r>
        <w:rPr>
          <w:rFonts w:hint="eastAsia" w:ascii="宋体" w:hAnsi="宋体" w:cs="宋体"/>
          <w:spacing w:val="6"/>
          <w:kern w:val="0"/>
          <w:szCs w:val="21"/>
        </w:rPr>
        <w:t>。即，本公司同时满足以下条件：</w:t>
      </w:r>
    </w:p>
    <w:p>
      <w:pPr>
        <w:widowControl/>
        <w:adjustRightInd w:val="0"/>
        <w:snapToGrid w:val="0"/>
        <w:spacing w:beforeLines="50" w:line="360" w:lineRule="auto"/>
        <w:ind w:firstLine="444" w:firstLineChars="200"/>
        <w:jc w:val="left"/>
        <w:rPr>
          <w:rFonts w:ascii="宋体" w:hAnsi="宋体" w:cs="宋体"/>
          <w:kern w:val="0"/>
          <w:szCs w:val="21"/>
        </w:rPr>
      </w:pPr>
      <w:r>
        <w:rPr>
          <w:rFonts w:hint="eastAsia" w:ascii="宋体" w:hAnsi="宋体" w:cs="宋体"/>
          <w:spacing w:val="6"/>
          <w:kern w:val="0"/>
          <w:szCs w:val="21"/>
        </w:rPr>
        <w:t>1.根据《工业和信息化部、国家统计局、国家发展和改革委员会、财政部关于印发中小企业划型标准规定的通知》（工信部联企业[2011]300号）规定的划分标准，本公司为</w:t>
      </w:r>
      <w:r>
        <w:rPr>
          <w:rFonts w:hint="eastAsia" w:ascii="宋体" w:hAnsi="宋体" w:cs="宋体"/>
          <w:spacing w:val="6"/>
          <w:kern w:val="0"/>
          <w:szCs w:val="21"/>
          <w:u w:val="single"/>
        </w:rPr>
        <w:t xml:space="preserve">                           </w:t>
      </w:r>
      <w:r>
        <w:rPr>
          <w:rFonts w:hint="eastAsia" w:ascii="宋体" w:hAnsi="宋体" w:cs="宋体"/>
          <w:spacing w:val="6"/>
          <w:kern w:val="0"/>
          <w:szCs w:val="21"/>
        </w:rPr>
        <w:t>（请填写：中型、小型、微型）企业。</w:t>
      </w:r>
    </w:p>
    <w:p>
      <w:pPr>
        <w:widowControl/>
        <w:adjustRightInd w:val="0"/>
        <w:snapToGrid w:val="0"/>
        <w:spacing w:beforeLines="50" w:line="360" w:lineRule="auto"/>
        <w:ind w:firstLine="444" w:firstLineChars="200"/>
        <w:jc w:val="left"/>
        <w:rPr>
          <w:rFonts w:ascii="宋体" w:hAnsi="宋体" w:cs="宋体"/>
          <w:kern w:val="0"/>
          <w:szCs w:val="21"/>
        </w:rPr>
      </w:pPr>
      <w:r>
        <w:rPr>
          <w:rFonts w:hint="eastAsia" w:ascii="宋体" w:hAnsi="宋体" w:cs="宋体"/>
          <w:spacing w:val="6"/>
          <w:kern w:val="0"/>
          <w:szCs w:val="21"/>
        </w:rPr>
        <w:t>2.本公司参加</w:t>
      </w:r>
      <w:r>
        <w:rPr>
          <w:rFonts w:hint="eastAsia" w:ascii="宋体" w:hAnsi="宋体" w:cs="宋体"/>
          <w:spacing w:val="6"/>
          <w:kern w:val="0"/>
          <w:szCs w:val="21"/>
          <w:u w:val="single"/>
        </w:rPr>
        <w:t xml:space="preserve">            </w:t>
      </w:r>
      <w:r>
        <w:rPr>
          <w:rFonts w:hint="eastAsia" w:ascii="宋体" w:hAnsi="宋体" w:cs="宋体"/>
          <w:spacing w:val="6"/>
          <w:kern w:val="0"/>
          <w:szCs w:val="21"/>
        </w:rPr>
        <w:t>单位的</w:t>
      </w:r>
      <w:r>
        <w:rPr>
          <w:rFonts w:hint="eastAsia" w:ascii="宋体" w:hAnsi="宋体" w:cs="宋体"/>
          <w:spacing w:val="6"/>
          <w:kern w:val="0"/>
          <w:szCs w:val="21"/>
          <w:u w:val="single"/>
        </w:rPr>
        <w:t xml:space="preserve">          </w:t>
      </w:r>
      <w:r>
        <w:rPr>
          <w:rFonts w:hint="eastAsia" w:ascii="宋体" w:hAnsi="宋体" w:cs="宋体"/>
          <w:spacing w:val="6"/>
          <w:kern w:val="0"/>
          <w:szCs w:val="21"/>
        </w:rPr>
        <w:t xml:space="preserve"> 项目采购活动提供本企业制造的货物，由本企业承担工程、提供服务，或者提供其他</w:t>
      </w:r>
      <w:r>
        <w:rPr>
          <w:rFonts w:hint="eastAsia" w:ascii="宋体" w:hAnsi="宋体" w:cs="宋体"/>
          <w:spacing w:val="6"/>
          <w:kern w:val="0"/>
          <w:szCs w:val="21"/>
          <w:u w:val="single"/>
        </w:rPr>
        <w:t xml:space="preserve">     </w:t>
      </w:r>
      <w:r>
        <w:rPr>
          <w:rFonts w:hint="eastAsia" w:ascii="宋体" w:hAnsi="宋体" w:cs="宋体"/>
          <w:spacing w:val="6"/>
          <w:kern w:val="0"/>
          <w:szCs w:val="21"/>
        </w:rPr>
        <w:t>（请填写：中型、小型、微型）企业制造的货物。本条所称货物不包括使用大型企业注册商标的货物。</w:t>
      </w:r>
    </w:p>
    <w:p>
      <w:pPr>
        <w:widowControl/>
        <w:adjustRightInd w:val="0"/>
        <w:snapToGrid w:val="0"/>
        <w:spacing w:beforeLines="50" w:line="360" w:lineRule="auto"/>
        <w:ind w:firstLine="444" w:firstLineChars="200"/>
        <w:jc w:val="left"/>
        <w:rPr>
          <w:rFonts w:ascii="宋体" w:hAnsi="宋体" w:cs="宋体"/>
          <w:kern w:val="0"/>
          <w:szCs w:val="21"/>
        </w:rPr>
      </w:pPr>
      <w:r>
        <w:rPr>
          <w:rFonts w:hint="eastAsia" w:ascii="宋体" w:hAnsi="宋体" w:cs="宋体"/>
          <w:spacing w:val="6"/>
          <w:kern w:val="0"/>
          <w:szCs w:val="21"/>
        </w:rPr>
        <w:t>本公司对上述声明的真实性负责。如有虚假，将依法承担相应责任。</w:t>
      </w:r>
    </w:p>
    <w:p>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 </w:t>
      </w:r>
    </w:p>
    <w:p>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 </w:t>
      </w:r>
    </w:p>
    <w:p>
      <w:pPr>
        <w:widowControl/>
        <w:adjustRightInd w:val="0"/>
        <w:snapToGrid w:val="0"/>
        <w:spacing w:beforeLines="50" w:line="360" w:lineRule="auto"/>
        <w:ind w:firstLine="444" w:firstLineChars="200"/>
        <w:jc w:val="center"/>
        <w:rPr>
          <w:rFonts w:ascii="宋体" w:hAnsi="宋体" w:cs="宋体"/>
          <w:spacing w:val="6"/>
          <w:kern w:val="0"/>
          <w:szCs w:val="21"/>
        </w:rPr>
      </w:pPr>
      <w:bookmarkStart w:id="311" w:name="_Toc27313_WPSOffice_Level2"/>
      <w:bookmarkStart w:id="312" w:name="_Toc4654_WPSOffice_Level2"/>
      <w:bookmarkStart w:id="313" w:name="_Toc9297_WPSOffice_Level2"/>
      <w:r>
        <w:rPr>
          <w:rFonts w:hint="eastAsia" w:ascii="宋体" w:hAnsi="宋体" w:cs="宋体"/>
          <w:spacing w:val="6"/>
          <w:kern w:val="0"/>
          <w:szCs w:val="21"/>
        </w:rPr>
        <w:t>               企业名称（盖章）：</w:t>
      </w:r>
      <w:bookmarkEnd w:id="311"/>
      <w:bookmarkEnd w:id="312"/>
      <w:bookmarkEnd w:id="313"/>
      <w:r>
        <w:rPr>
          <w:rFonts w:hint="eastAsia" w:ascii="宋体" w:hAnsi="宋体" w:cs="宋体"/>
          <w:spacing w:val="6"/>
          <w:kern w:val="0"/>
          <w:szCs w:val="21"/>
          <w:u w:val="single"/>
        </w:rPr>
        <w:t xml:space="preserve">              </w:t>
      </w:r>
      <w:r>
        <w:rPr>
          <w:rFonts w:hint="eastAsia" w:ascii="宋体" w:hAnsi="宋体" w:cs="宋体"/>
          <w:spacing w:val="6"/>
          <w:kern w:val="0"/>
          <w:szCs w:val="21"/>
        </w:rPr>
        <w:t xml:space="preserve"> </w:t>
      </w:r>
    </w:p>
    <w:p>
      <w:pPr>
        <w:widowControl/>
        <w:adjustRightInd w:val="0"/>
        <w:snapToGrid w:val="0"/>
        <w:spacing w:beforeLines="50" w:line="360" w:lineRule="auto"/>
        <w:ind w:firstLine="444" w:firstLineChars="200"/>
        <w:jc w:val="center"/>
        <w:rPr>
          <w:rFonts w:ascii="宋体" w:hAnsi="宋体"/>
          <w:szCs w:val="21"/>
        </w:rPr>
      </w:pPr>
      <w:r>
        <w:rPr>
          <w:rFonts w:hint="eastAsia" w:ascii="宋体" w:hAnsi="宋体" w:cs="宋体"/>
          <w:spacing w:val="6"/>
          <w:kern w:val="0"/>
          <w:szCs w:val="21"/>
        </w:rPr>
        <w:t xml:space="preserve">             </w:t>
      </w:r>
      <w:bookmarkStart w:id="314" w:name="_Toc12_WPSOffice_Level2"/>
      <w:bookmarkStart w:id="315" w:name="_Toc27698_WPSOffice_Level2"/>
      <w:bookmarkStart w:id="316" w:name="_Toc19332_WPSOffice_Level2"/>
      <w:r>
        <w:rPr>
          <w:rFonts w:hint="eastAsia" w:ascii="宋体" w:hAnsi="宋体" w:cs="宋体"/>
          <w:spacing w:val="6"/>
          <w:kern w:val="0"/>
          <w:szCs w:val="21"/>
        </w:rPr>
        <w:t>                      日 期：</w:t>
      </w:r>
      <w:r>
        <w:rPr>
          <w:rFonts w:hint="eastAsia" w:ascii="宋体" w:hAnsi="宋体" w:cs="宋体"/>
          <w:spacing w:val="6"/>
          <w:kern w:val="0"/>
          <w:szCs w:val="21"/>
          <w:u w:val="single"/>
        </w:rPr>
        <w:t xml:space="preserve">              </w:t>
      </w:r>
      <w:r>
        <w:rPr>
          <w:rFonts w:hint="eastAsia" w:ascii="宋体" w:hAnsi="宋体" w:cs="宋体"/>
          <w:spacing w:val="6"/>
          <w:kern w:val="0"/>
          <w:szCs w:val="21"/>
        </w:rPr>
        <w:t>              </w:t>
      </w:r>
      <w:bookmarkEnd w:id="314"/>
      <w:bookmarkEnd w:id="315"/>
      <w:bookmarkEnd w:id="316"/>
      <w:r>
        <w:rPr>
          <w:rFonts w:hint="eastAsia" w:ascii="宋体" w:hAnsi="宋体" w:cs="宋体"/>
          <w:spacing w:val="6"/>
          <w:kern w:val="0"/>
          <w:szCs w:val="21"/>
        </w:rPr>
        <w:t xml:space="preserve"> </w:t>
      </w:r>
    </w:p>
    <w:p>
      <w:pPr>
        <w:rPr>
          <w:rFonts w:ascii="宋体" w:hAnsi="宋体"/>
          <w:szCs w:val="21"/>
        </w:rPr>
      </w:pPr>
    </w:p>
    <w:p>
      <w:pPr>
        <w:rPr>
          <w:rFonts w:ascii="宋体" w:hAnsi="宋体"/>
          <w:szCs w:val="21"/>
        </w:rPr>
      </w:pPr>
    </w:p>
    <w:p>
      <w:pPr>
        <w:adjustRightInd w:val="0"/>
        <w:snapToGrid w:val="0"/>
        <w:spacing w:line="360" w:lineRule="auto"/>
        <w:rPr>
          <w:rFonts w:ascii="宋体" w:hAnsi="宋体"/>
          <w:szCs w:val="21"/>
        </w:rPr>
      </w:pPr>
      <w:r>
        <w:rPr>
          <w:rFonts w:hint="eastAsia" w:ascii="宋体" w:hAnsi="宋体"/>
          <w:b/>
          <w:szCs w:val="21"/>
        </w:rPr>
        <w:t>备注</w:t>
      </w:r>
      <w:r>
        <w:rPr>
          <w:rFonts w:hint="eastAsia" w:ascii="宋体" w:hAnsi="宋体"/>
          <w:szCs w:val="21"/>
        </w:rPr>
        <w:t>：填写前请认真阅读</w:t>
      </w:r>
      <w:r>
        <w:rPr>
          <w:rFonts w:hint="eastAsia" w:ascii="宋体" w:hAnsi="宋体" w:cs="宋体"/>
          <w:spacing w:val="6"/>
          <w:kern w:val="0"/>
          <w:szCs w:val="21"/>
        </w:rPr>
        <w:t>《工业和信息化部、国家统计局、国家发展和改革委员会、财政部关于印发中小企业划型标准规定的通知》（工信部联企业[2011]300号）和</w:t>
      </w:r>
      <w:r>
        <w:rPr>
          <w:rFonts w:hint="eastAsia" w:ascii="宋体" w:hAnsi="宋体"/>
          <w:spacing w:val="6"/>
          <w:szCs w:val="21"/>
        </w:rPr>
        <w:t>《财政部工业和信息化部</w:t>
      </w:r>
      <w:r>
        <w:rPr>
          <w:rFonts w:hint="eastAsia" w:ascii="宋体" w:hAnsi="宋体"/>
          <w:bCs/>
          <w:szCs w:val="21"/>
        </w:rPr>
        <w:t>关于印发政府采购促进中小企业发展暂行办法的通知》(</w:t>
      </w:r>
      <w:r>
        <w:rPr>
          <w:rFonts w:hint="eastAsia" w:ascii="宋体" w:hAnsi="宋体"/>
          <w:szCs w:val="21"/>
        </w:rPr>
        <w:t>财库[2011]181号)相关规定。</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pStyle w:val="4"/>
        <w:rPr>
          <w:rFonts w:ascii="黑体" w:hAnsi="黑体" w:eastAsia="黑体" w:cs="仿宋"/>
          <w:b w:val="0"/>
          <w:sz w:val="28"/>
          <w:szCs w:val="21"/>
        </w:rPr>
      </w:pPr>
      <w:r>
        <w:rPr>
          <w:rFonts w:ascii="黑体" w:hAnsi="黑体" w:eastAsia="黑体" w:cs="仿宋"/>
          <w:b w:val="0"/>
          <w:sz w:val="28"/>
          <w:szCs w:val="21"/>
        </w:rPr>
        <w:t xml:space="preserve"> </w:t>
      </w:r>
      <w:bookmarkStart w:id="317" w:name="_Toc16042_WPSOffice_Level1"/>
      <w:bookmarkStart w:id="318" w:name="_Toc536603261"/>
      <w:bookmarkStart w:id="319" w:name="_Toc2975_WPSOffice_Level1"/>
      <w:bookmarkStart w:id="320" w:name="_Toc18770_WPSOffice_Level3"/>
      <w:r>
        <w:rPr>
          <w:rFonts w:hint="eastAsia" w:ascii="黑体" w:hAnsi="黑体" w:eastAsia="黑体" w:cs="仿宋"/>
          <w:sz w:val="28"/>
          <w:szCs w:val="21"/>
        </w:rPr>
        <w:t>六（二）、附件7  招标文件规定的其他资格条件证明文件</w:t>
      </w:r>
      <w:bookmarkEnd w:id="317"/>
      <w:bookmarkEnd w:id="318"/>
      <w:bookmarkEnd w:id="319"/>
      <w:bookmarkEnd w:id="320"/>
    </w:p>
    <w:p>
      <w:pPr>
        <w:rPr>
          <w:rFonts w:ascii="宋体" w:hAnsi="宋体"/>
          <w:b/>
          <w:szCs w:val="21"/>
        </w:rPr>
      </w:pPr>
    </w:p>
    <w:p>
      <w:pPr>
        <w:rPr>
          <w:rFonts w:ascii="宋体" w:hAnsi="宋体"/>
          <w:b/>
          <w:szCs w:val="21"/>
        </w:rPr>
      </w:pPr>
    </w:p>
    <w:p>
      <w:pPr>
        <w:spacing w:line="360" w:lineRule="auto"/>
        <w:rPr>
          <w:rFonts w:ascii="宋体" w:hAnsi="宋体"/>
          <w:szCs w:val="21"/>
        </w:rPr>
      </w:pPr>
      <w:bookmarkStart w:id="321" w:name="_Toc418504670"/>
      <w:r>
        <w:rPr>
          <w:rFonts w:hint="eastAsia" w:ascii="宋体" w:hAnsi="宋体"/>
          <w:b/>
          <w:szCs w:val="21"/>
        </w:rPr>
        <w:t>备注</w:t>
      </w:r>
      <w:r>
        <w:rPr>
          <w:rFonts w:hint="eastAsia" w:ascii="宋体" w:hAnsi="宋体"/>
          <w:szCs w:val="21"/>
        </w:rPr>
        <w:t>：提供第一章“投标须知”第3.1</w:t>
      </w:r>
      <w:r>
        <w:rPr>
          <w:rFonts w:hint="eastAsia" w:ascii="宋体" w:hAnsi="宋体" w:cs="宋体"/>
          <w:kern w:val="0"/>
          <w:szCs w:val="21"/>
          <w:lang w:val="zh-CN"/>
        </w:rPr>
        <w:t>款</w:t>
      </w:r>
      <w:r>
        <w:rPr>
          <w:rFonts w:hint="eastAsia" w:ascii="宋体" w:hAnsi="宋体"/>
          <w:szCs w:val="21"/>
        </w:rPr>
        <w:t>规定的证明材料的复印件</w:t>
      </w:r>
      <w:bookmarkEnd w:id="321"/>
      <w:r>
        <w:rPr>
          <w:rFonts w:ascii="宋体" w:hAnsi="宋体"/>
          <w:szCs w:val="21"/>
        </w:rPr>
        <w:t xml:space="preserve"> </w:t>
      </w:r>
      <w:bookmarkStart w:id="322" w:name="_Toc28786_WPSOffice_Level1"/>
      <w:bookmarkStart w:id="323" w:name="_Toc27964_WPSOffice_Level3"/>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pStyle w:val="4"/>
        <w:rPr>
          <w:rFonts w:ascii="黑体" w:hAnsi="黑体" w:eastAsia="黑体" w:cs="仿宋"/>
          <w:sz w:val="28"/>
          <w:szCs w:val="21"/>
        </w:rPr>
      </w:pPr>
      <w:bookmarkStart w:id="324" w:name="_Toc536603262"/>
      <w:r>
        <w:rPr>
          <w:rFonts w:hint="eastAsia" w:ascii="黑体" w:hAnsi="黑体" w:eastAsia="黑体" w:cs="仿宋"/>
          <w:sz w:val="28"/>
          <w:szCs w:val="21"/>
        </w:rPr>
        <w:t>六（二）、附件8  经销、或代理投标货物、或为投标货物提供售后服务的证明文件</w:t>
      </w:r>
      <w:bookmarkEnd w:id="324"/>
    </w:p>
    <w:p>
      <w:pPr>
        <w:adjustRightInd w:val="0"/>
        <w:snapToGrid w:val="0"/>
        <w:spacing w:beforeLines="50" w:line="360" w:lineRule="auto"/>
        <w:rPr>
          <w:rFonts w:ascii="仿宋_GB2312" w:eastAsia="仿宋_GB2312"/>
          <w:bCs/>
          <w:szCs w:val="21"/>
        </w:rPr>
      </w:pPr>
      <w:r>
        <w:rPr>
          <w:rFonts w:hint="eastAsia" w:ascii="仿宋_GB2312" w:eastAsia="仿宋_GB2312"/>
          <w:b/>
          <w:szCs w:val="21"/>
        </w:rPr>
        <w:t>备注：</w:t>
      </w:r>
      <w:r>
        <w:rPr>
          <w:rFonts w:hint="eastAsia" w:ascii="仿宋_GB2312" w:eastAsia="仿宋_GB2312"/>
          <w:szCs w:val="21"/>
        </w:rPr>
        <w:t>提供</w:t>
      </w:r>
      <w:r>
        <w:rPr>
          <w:rFonts w:hint="eastAsia" w:ascii="仿宋_GB2312" w:eastAsia="仿宋_GB2312"/>
          <w:bCs/>
          <w:szCs w:val="21"/>
        </w:rPr>
        <w:t>（1）</w:t>
      </w:r>
      <w:r>
        <w:rPr>
          <w:rFonts w:hint="eastAsia" w:ascii="仿宋_GB2312" w:eastAsia="仿宋_GB2312"/>
          <w:szCs w:val="21"/>
        </w:rPr>
        <w:t>协议或售后服务承诺书原件；（2）制造商</w:t>
      </w:r>
      <w:r>
        <w:rPr>
          <w:rFonts w:hint="eastAsia" w:ascii="仿宋_GB2312" w:eastAsia="仿宋_GB2312"/>
          <w:bCs/>
          <w:szCs w:val="21"/>
        </w:rPr>
        <w:t>《营业执照》（副本）复印件。</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adjustRightInd w:val="0"/>
        <w:snapToGrid w:val="0"/>
        <w:spacing w:line="360" w:lineRule="auto"/>
        <w:rPr>
          <w:rFonts w:ascii="黑体" w:hAnsi="黑体" w:eastAsia="黑体" w:cs="仿宋"/>
          <w:b/>
          <w:sz w:val="28"/>
          <w:szCs w:val="21"/>
        </w:rPr>
      </w:pPr>
    </w:p>
    <w:p>
      <w:pPr>
        <w:pStyle w:val="4"/>
        <w:rPr>
          <w:rFonts w:ascii="黑体" w:hAnsi="黑体" w:eastAsia="黑体" w:cs="仿宋"/>
          <w:bCs w:val="0"/>
          <w:sz w:val="28"/>
          <w:szCs w:val="21"/>
        </w:rPr>
      </w:pPr>
      <w:bookmarkStart w:id="325" w:name="_Toc536603263"/>
      <w:r>
        <w:rPr>
          <w:rFonts w:hint="eastAsia" w:ascii="黑体" w:hAnsi="黑体" w:eastAsia="黑体" w:cs="仿宋"/>
          <w:bCs w:val="0"/>
          <w:sz w:val="28"/>
          <w:szCs w:val="21"/>
        </w:rPr>
        <w:t>七、投标人认为需要加以说明的其它资料（自行拟定格式提供）</w:t>
      </w:r>
      <w:bookmarkEnd w:id="322"/>
      <w:bookmarkEnd w:id="323"/>
      <w:bookmarkEnd w:id="325"/>
    </w:p>
    <w:p>
      <w:pPr>
        <w:pStyle w:val="22"/>
        <w:spacing w:line="400" w:lineRule="atLeast"/>
        <w:rPr>
          <w:rFonts w:hAnsi="宋体"/>
          <w:b/>
          <w:bCs/>
          <w:sz w:val="84"/>
          <w:szCs w:val="84"/>
        </w:rPr>
      </w:pPr>
      <w:r>
        <w:rPr>
          <w:rFonts w:hint="eastAsia" w:ascii="仿宋_GB2312" w:eastAsia="仿宋_GB2312"/>
          <w:b/>
        </w:rPr>
        <w:t>备注：</w:t>
      </w:r>
      <w:r>
        <w:rPr>
          <w:rFonts w:hint="eastAsia" w:ascii="仿宋_GB2312" w:eastAsia="仿宋_GB2312"/>
        </w:rPr>
        <w:t>提供投标人认为应提供的资料以及根据项目情况、综合评分表的要求应提供的资料。</w:t>
      </w:r>
    </w:p>
    <w:p>
      <w:pPr>
        <w:pStyle w:val="22"/>
        <w:spacing w:line="400" w:lineRule="atLeast"/>
        <w:jc w:val="center"/>
        <w:rPr>
          <w:rFonts w:hAnsi="宋体"/>
          <w:b/>
          <w:bCs/>
          <w:sz w:val="84"/>
          <w:szCs w:val="84"/>
        </w:rPr>
      </w:pPr>
    </w:p>
    <w:p>
      <w:pPr>
        <w:pStyle w:val="22"/>
        <w:spacing w:line="400" w:lineRule="atLeast"/>
        <w:rPr>
          <w:rFonts w:hAnsi="宋体"/>
          <w:b/>
          <w:bCs/>
          <w:sz w:val="84"/>
          <w:szCs w:val="84"/>
        </w:rPr>
      </w:pPr>
    </w:p>
    <w:p>
      <w:pPr>
        <w:pStyle w:val="22"/>
        <w:spacing w:line="400" w:lineRule="atLeast"/>
        <w:rPr>
          <w:rFonts w:hAnsi="宋体"/>
          <w:b/>
          <w:bCs/>
          <w:sz w:val="84"/>
          <w:szCs w:val="84"/>
        </w:rPr>
      </w:pPr>
    </w:p>
    <w:p>
      <w:pPr>
        <w:pStyle w:val="22"/>
        <w:spacing w:line="400" w:lineRule="atLeast"/>
        <w:jc w:val="center"/>
        <w:rPr>
          <w:rFonts w:hAnsi="宋体"/>
          <w:b/>
          <w:bCs/>
          <w:sz w:val="84"/>
          <w:szCs w:val="84"/>
        </w:rPr>
      </w:pPr>
      <w:bookmarkStart w:id="326" w:name="_Toc3270_WPSOffice_Level1"/>
      <w:bookmarkStart w:id="327" w:name="_Toc9128_WPSOffice_Level1"/>
      <w:bookmarkStart w:id="328" w:name="_Toc5200_WPSOffice_Level1"/>
      <w:bookmarkStart w:id="329" w:name="_Toc5407_WPSOffice_Level1"/>
      <w:r>
        <w:rPr>
          <w:rFonts w:hint="eastAsia" w:hAnsi="宋体"/>
          <w:b/>
          <w:bCs/>
          <w:sz w:val="84"/>
          <w:szCs w:val="84"/>
        </w:rPr>
        <w:t>政府采购</w:t>
      </w:r>
      <w:bookmarkEnd w:id="326"/>
      <w:bookmarkEnd w:id="327"/>
      <w:bookmarkEnd w:id="328"/>
      <w:bookmarkEnd w:id="329"/>
    </w:p>
    <w:p>
      <w:pPr>
        <w:pStyle w:val="22"/>
        <w:spacing w:line="400" w:lineRule="atLeast"/>
        <w:jc w:val="center"/>
        <w:outlineLvl w:val="1"/>
        <w:rPr>
          <w:rFonts w:hAnsi="宋体"/>
          <w:b/>
          <w:bCs/>
          <w:sz w:val="84"/>
          <w:szCs w:val="84"/>
        </w:rPr>
      </w:pPr>
      <w:bookmarkStart w:id="330" w:name="_Toc536603264"/>
      <w:bookmarkStart w:id="331" w:name="_Toc12348_WPSOffice_Level1"/>
      <w:bookmarkStart w:id="332" w:name="_Toc22028_WPSOffice_Level1"/>
      <w:bookmarkStart w:id="333" w:name="_Toc11919_WPSOffice_Level1"/>
      <w:r>
        <w:rPr>
          <w:rFonts w:hint="eastAsia" w:hAnsi="宋体"/>
          <w:b/>
          <w:bCs/>
          <w:sz w:val="84"/>
          <w:szCs w:val="84"/>
        </w:rPr>
        <w:t>投 标 文 件</w:t>
      </w:r>
      <w:bookmarkEnd w:id="330"/>
      <w:bookmarkEnd w:id="331"/>
      <w:bookmarkEnd w:id="332"/>
      <w:bookmarkEnd w:id="333"/>
    </w:p>
    <w:p>
      <w:pPr>
        <w:adjustRightInd w:val="0"/>
        <w:snapToGrid w:val="0"/>
        <w:spacing w:line="360" w:lineRule="auto"/>
        <w:outlineLvl w:val="1"/>
        <w:rPr>
          <w:rFonts w:ascii="宋体" w:hAnsi="宋体"/>
          <w:b/>
          <w:sz w:val="44"/>
          <w:szCs w:val="44"/>
        </w:rPr>
      </w:pPr>
    </w:p>
    <w:p>
      <w:pPr>
        <w:adjustRightInd w:val="0"/>
        <w:snapToGrid w:val="0"/>
        <w:spacing w:beforeLines="50" w:line="360" w:lineRule="auto"/>
        <w:jc w:val="center"/>
        <w:outlineLvl w:val="1"/>
        <w:rPr>
          <w:rFonts w:ascii="宋体" w:hAnsi="宋体"/>
          <w:b/>
          <w:sz w:val="32"/>
          <w:szCs w:val="32"/>
        </w:rPr>
      </w:pPr>
      <w:bookmarkStart w:id="334" w:name="_Toc530044691"/>
      <w:bookmarkStart w:id="335" w:name="_Toc536603265"/>
      <w:bookmarkStart w:id="336" w:name="_Toc24041_WPSOffice_Level2"/>
      <w:bookmarkStart w:id="337" w:name="_Toc25445_WPSOffice_Level2"/>
      <w:bookmarkStart w:id="338" w:name="_Toc530045484"/>
      <w:bookmarkStart w:id="339" w:name="_Toc6540_WPSOffice_Level2"/>
      <w:r>
        <w:rPr>
          <w:rFonts w:hint="eastAsia" w:ascii="宋体" w:hAnsi="宋体"/>
          <w:b/>
          <w:sz w:val="32"/>
          <w:szCs w:val="32"/>
        </w:rPr>
        <w:t>(技术文件)</w:t>
      </w:r>
      <w:bookmarkEnd w:id="334"/>
      <w:bookmarkEnd w:id="335"/>
      <w:bookmarkEnd w:id="336"/>
      <w:bookmarkEnd w:id="337"/>
      <w:bookmarkEnd w:id="338"/>
      <w:bookmarkEnd w:id="339"/>
    </w:p>
    <w:p>
      <w:pPr>
        <w:rPr>
          <w:rFonts w:ascii="黑体" w:hAnsi="宋体" w:eastAsia="黑体"/>
          <w:sz w:val="32"/>
          <w:szCs w:val="32"/>
        </w:rPr>
      </w:pPr>
      <w:r>
        <w:rPr>
          <w:rFonts w:hint="eastAsia" w:ascii="黑体" w:hAnsi="宋体" w:eastAsia="黑体"/>
          <w:sz w:val="32"/>
          <w:szCs w:val="32"/>
        </w:rPr>
        <w:t xml:space="preserve">           </w:t>
      </w:r>
    </w:p>
    <w:p>
      <w:pPr>
        <w:pStyle w:val="22"/>
        <w:spacing w:beforeLines="100" w:afterLines="100" w:line="360" w:lineRule="auto"/>
        <w:rPr>
          <w:rFonts w:hAnsi="宋体"/>
          <w:b/>
          <w:bCs/>
          <w:sz w:val="30"/>
          <w:szCs w:val="30"/>
        </w:rPr>
      </w:pPr>
      <w:bookmarkStart w:id="340" w:name="_Toc18565_WPSOffice_Level3"/>
      <w:bookmarkStart w:id="341" w:name="_Toc13014_WPSOffice_Level3"/>
      <w:bookmarkStart w:id="342" w:name="_Toc31625_WPSOffice_Level3"/>
      <w:r>
        <w:rPr>
          <w:rFonts w:hint="eastAsia" w:hAnsi="宋体"/>
          <w:b/>
          <w:bCs/>
          <w:sz w:val="30"/>
          <w:szCs w:val="30"/>
        </w:rPr>
        <w:t>采购项目名称:</w:t>
      </w:r>
      <w:bookmarkEnd w:id="340"/>
      <w:bookmarkEnd w:id="341"/>
      <w:bookmarkEnd w:id="342"/>
    </w:p>
    <w:p>
      <w:pPr>
        <w:pStyle w:val="22"/>
        <w:spacing w:beforeLines="100" w:afterLines="100" w:line="360" w:lineRule="auto"/>
        <w:rPr>
          <w:rFonts w:hAnsi="宋体"/>
          <w:b/>
          <w:bCs/>
          <w:sz w:val="30"/>
          <w:szCs w:val="30"/>
        </w:rPr>
      </w:pPr>
      <w:bookmarkStart w:id="343" w:name="_Toc492_WPSOffice_Level3"/>
      <w:r>
        <w:rPr>
          <w:rFonts w:hint="eastAsia" w:hAnsi="宋体"/>
          <w:b/>
          <w:bCs/>
          <w:sz w:val="30"/>
          <w:szCs w:val="30"/>
        </w:rPr>
        <w:t>政府采购编号:</w:t>
      </w:r>
      <w:bookmarkEnd w:id="343"/>
    </w:p>
    <w:p>
      <w:pPr>
        <w:pStyle w:val="22"/>
        <w:spacing w:beforeLines="100" w:afterLines="100" w:line="360" w:lineRule="auto"/>
        <w:rPr>
          <w:rFonts w:hAnsi="宋体"/>
          <w:b/>
          <w:bCs/>
          <w:sz w:val="30"/>
          <w:szCs w:val="30"/>
          <w:u w:val="single"/>
        </w:rPr>
      </w:pPr>
      <w:bookmarkStart w:id="344" w:name="_Toc1725_WPSOffice_Level3"/>
      <w:r>
        <w:rPr>
          <w:rFonts w:hint="eastAsia" w:hAnsi="宋体"/>
          <w:b/>
          <w:bCs/>
          <w:sz w:val="30"/>
          <w:szCs w:val="30"/>
        </w:rPr>
        <w:t>委托代理编号:</w:t>
      </w:r>
      <w:bookmarkEnd w:id="344"/>
    </w:p>
    <w:p>
      <w:pPr>
        <w:adjustRightInd w:val="0"/>
        <w:snapToGrid w:val="0"/>
        <w:ind w:firstLine="1124" w:firstLineChars="350"/>
        <w:rPr>
          <w:rFonts w:ascii="宋体" w:hAnsi="宋体"/>
          <w:b/>
          <w:sz w:val="32"/>
        </w:rPr>
      </w:pPr>
    </w:p>
    <w:p>
      <w:pPr>
        <w:adjustRightInd w:val="0"/>
        <w:snapToGrid w:val="0"/>
        <w:ind w:firstLine="1124" w:firstLineChars="350"/>
        <w:rPr>
          <w:rFonts w:ascii="宋体" w:hAnsi="宋体"/>
          <w:b/>
          <w:sz w:val="32"/>
        </w:rPr>
      </w:pPr>
    </w:p>
    <w:p>
      <w:pPr>
        <w:pStyle w:val="22"/>
        <w:rPr>
          <w:rFonts w:hAnsi="宋体"/>
          <w:b/>
          <w:sz w:val="32"/>
          <w:szCs w:val="24"/>
        </w:rPr>
      </w:pPr>
    </w:p>
    <w:p>
      <w:pPr>
        <w:pStyle w:val="22"/>
        <w:rPr>
          <w:rFonts w:hAnsi="宋体"/>
          <w:b/>
          <w:sz w:val="32"/>
        </w:rPr>
      </w:pPr>
      <w:bookmarkStart w:id="345" w:name="_Toc7095_WPSOffice_Level2"/>
      <w:bookmarkStart w:id="346" w:name="_Toc6463_WPSOffice_Level2"/>
      <w:bookmarkStart w:id="347" w:name="_Toc16258_WPSOffice_Level2"/>
      <w:r>
        <w:rPr>
          <w:rFonts w:hint="eastAsia" w:hAnsi="宋体"/>
          <w:b/>
          <w:sz w:val="32"/>
        </w:rPr>
        <w:t>投标人</w:t>
      </w:r>
      <w:bookmarkEnd w:id="345"/>
      <w:bookmarkEnd w:id="346"/>
      <w:bookmarkEnd w:id="347"/>
      <w:r>
        <w:rPr>
          <w:rFonts w:hint="eastAsia" w:hAnsi="宋体"/>
          <w:b/>
          <w:sz w:val="32"/>
        </w:rPr>
        <w:t xml:space="preserve">： </w:t>
      </w:r>
      <w:r>
        <w:rPr>
          <w:rFonts w:hint="eastAsia" w:hAnsi="宋体"/>
          <w:b/>
          <w:sz w:val="32"/>
          <w:u w:val="single"/>
        </w:rPr>
        <w:t xml:space="preserve">                      </w:t>
      </w:r>
      <w:r>
        <w:rPr>
          <w:rFonts w:hint="eastAsia" w:hAnsi="宋体"/>
          <w:b/>
          <w:sz w:val="32"/>
        </w:rPr>
        <w:t xml:space="preserve"> </w:t>
      </w:r>
    </w:p>
    <w:p>
      <w:pPr>
        <w:pStyle w:val="22"/>
        <w:jc w:val="center"/>
        <w:rPr>
          <w:rFonts w:hAnsi="宋体"/>
          <w:b/>
          <w:sz w:val="32"/>
          <w:szCs w:val="32"/>
        </w:rPr>
      </w:pPr>
      <w:bookmarkStart w:id="348" w:name="_Toc22861_WPSOffice_Level3"/>
      <w:bookmarkStart w:id="349" w:name="_Toc24378_WPSOffice_Level3"/>
      <w:bookmarkStart w:id="350" w:name="_Toc10137_WPSOffice_Level3"/>
      <w:r>
        <w:rPr>
          <w:rFonts w:hint="eastAsia" w:hAnsi="宋体"/>
          <w:b/>
          <w:sz w:val="32"/>
          <w:szCs w:val="32"/>
        </w:rPr>
        <w:t>年  月  日</w:t>
      </w:r>
      <w:bookmarkEnd w:id="348"/>
      <w:bookmarkEnd w:id="349"/>
      <w:bookmarkEnd w:id="350"/>
      <w:bookmarkStart w:id="351" w:name="_Toc15063_WPSOffice_Level1"/>
      <w:bookmarkStart w:id="352" w:name="_Toc25365_WPSOffice_Level2"/>
    </w:p>
    <w:p>
      <w:pPr>
        <w:pStyle w:val="22"/>
        <w:jc w:val="center"/>
        <w:rPr>
          <w:rFonts w:hAnsi="宋体"/>
          <w:b/>
          <w:sz w:val="32"/>
          <w:szCs w:val="32"/>
        </w:rPr>
      </w:pPr>
    </w:p>
    <w:p>
      <w:pPr>
        <w:pStyle w:val="22"/>
        <w:jc w:val="center"/>
        <w:rPr>
          <w:rFonts w:hAnsi="宋体"/>
          <w:b/>
          <w:spacing w:val="160"/>
          <w:sz w:val="28"/>
          <w:szCs w:val="28"/>
        </w:rPr>
      </w:pPr>
    </w:p>
    <w:p>
      <w:pPr>
        <w:pStyle w:val="4"/>
        <w:rPr>
          <w:rFonts w:ascii="黑体" w:hAnsi="黑体" w:eastAsia="黑体" w:cs="仿宋"/>
          <w:sz w:val="28"/>
          <w:szCs w:val="21"/>
        </w:rPr>
      </w:pPr>
      <w:bookmarkStart w:id="353" w:name="_Toc536603266"/>
      <w:r>
        <w:rPr>
          <w:rFonts w:hint="eastAsia" w:ascii="黑体" w:hAnsi="黑体" w:eastAsia="黑体" w:cs="仿宋"/>
          <w:sz w:val="28"/>
          <w:szCs w:val="21"/>
        </w:rPr>
        <w:t>八、</w:t>
      </w:r>
      <w:bookmarkEnd w:id="351"/>
      <w:r>
        <w:rPr>
          <w:rFonts w:hint="eastAsia" w:ascii="黑体" w:hAnsi="黑体" w:eastAsia="黑体" w:cs="仿宋"/>
          <w:sz w:val="28"/>
          <w:szCs w:val="21"/>
        </w:rPr>
        <w:t>货物说明一览表</w:t>
      </w:r>
      <w:bookmarkEnd w:id="352"/>
      <w:bookmarkEnd w:id="353"/>
    </w:p>
    <w:p>
      <w:pPr>
        <w:adjustRightInd w:val="0"/>
        <w:snapToGrid w:val="0"/>
        <w:ind w:left="-88" w:leftChars="-42" w:firstLine="133" w:firstLineChars="50"/>
        <w:rPr>
          <w:rFonts w:ascii="宋体" w:hAnsi="宋体"/>
          <w:spacing w:val="28"/>
          <w:szCs w:val="21"/>
        </w:rPr>
      </w:pPr>
    </w:p>
    <w:p>
      <w:pPr>
        <w:adjustRightInd w:val="0"/>
        <w:snapToGrid w:val="0"/>
        <w:ind w:left="-88" w:leftChars="-42" w:firstLine="133" w:firstLineChars="50"/>
        <w:rPr>
          <w:rFonts w:ascii="宋体" w:hAnsi="宋体"/>
          <w:szCs w:val="21"/>
        </w:rPr>
      </w:pPr>
      <w:r>
        <w:rPr>
          <w:rFonts w:hint="eastAsia" w:ascii="宋体" w:hAnsi="宋体"/>
          <w:spacing w:val="28"/>
          <w:szCs w:val="21"/>
        </w:rPr>
        <w:t>政府采购编号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p>
    <w:tbl>
      <w:tblPr>
        <w:tblStyle w:val="40"/>
        <w:tblW w:w="9639"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83"/>
        <w:gridCol w:w="1029"/>
        <w:gridCol w:w="942"/>
        <w:gridCol w:w="1157"/>
        <w:gridCol w:w="1157"/>
        <w:gridCol w:w="2526"/>
        <w:gridCol w:w="1185"/>
        <w:gridCol w:w="10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31" w:hRule="atLeast"/>
        </w:trPr>
        <w:tc>
          <w:tcPr>
            <w:tcW w:w="583" w:type="dxa"/>
          </w:tcPr>
          <w:p>
            <w:pPr>
              <w:adjustRightInd w:val="0"/>
              <w:snapToGrid w:val="0"/>
              <w:spacing w:line="400" w:lineRule="atLeast"/>
              <w:ind w:left="-88" w:leftChars="-42"/>
              <w:jc w:val="center"/>
              <w:rPr>
                <w:rFonts w:ascii="宋体" w:hAnsi="宋体"/>
                <w:b/>
                <w:szCs w:val="21"/>
              </w:rPr>
            </w:pPr>
            <w:r>
              <w:rPr>
                <w:rFonts w:hint="eastAsia" w:ascii="宋体" w:hAnsi="宋体"/>
                <w:bCs/>
                <w:szCs w:val="21"/>
              </w:rPr>
              <w:t>序号</w:t>
            </w:r>
          </w:p>
        </w:tc>
        <w:tc>
          <w:tcPr>
            <w:tcW w:w="1029" w:type="dxa"/>
          </w:tcPr>
          <w:p>
            <w:pPr>
              <w:adjustRightInd w:val="0"/>
              <w:snapToGrid w:val="0"/>
              <w:spacing w:line="400" w:lineRule="atLeast"/>
              <w:ind w:left="-88" w:leftChars="-42"/>
              <w:rPr>
                <w:rFonts w:ascii="宋体" w:hAnsi="宋体"/>
                <w:b/>
                <w:szCs w:val="21"/>
              </w:rPr>
            </w:pPr>
            <w:r>
              <w:rPr>
                <w:rFonts w:hint="eastAsia" w:ascii="宋体" w:hAnsi="宋体"/>
                <w:bCs/>
                <w:szCs w:val="21"/>
              </w:rPr>
              <w:t>货物名称</w:t>
            </w:r>
          </w:p>
        </w:tc>
        <w:tc>
          <w:tcPr>
            <w:tcW w:w="942" w:type="dxa"/>
          </w:tcPr>
          <w:p>
            <w:pPr>
              <w:adjustRightInd w:val="0"/>
              <w:snapToGrid w:val="0"/>
              <w:spacing w:line="400" w:lineRule="atLeast"/>
              <w:ind w:left="-88" w:leftChars="-42"/>
              <w:jc w:val="center"/>
              <w:rPr>
                <w:rFonts w:ascii="宋体" w:hAnsi="宋体"/>
                <w:b/>
                <w:szCs w:val="21"/>
              </w:rPr>
            </w:pPr>
            <w:r>
              <w:rPr>
                <w:rFonts w:hint="eastAsia" w:ascii="宋体" w:hAnsi="宋体"/>
                <w:bCs/>
                <w:szCs w:val="21"/>
              </w:rPr>
              <w:t>制造商名称</w:t>
            </w:r>
          </w:p>
        </w:tc>
        <w:tc>
          <w:tcPr>
            <w:tcW w:w="1157" w:type="dxa"/>
          </w:tcPr>
          <w:p>
            <w:pPr>
              <w:adjustRightInd w:val="0"/>
              <w:snapToGrid w:val="0"/>
              <w:spacing w:line="400" w:lineRule="atLeast"/>
              <w:ind w:left="-88" w:leftChars="-42"/>
              <w:jc w:val="center"/>
              <w:rPr>
                <w:rFonts w:ascii="宋体" w:hAnsi="宋体"/>
                <w:szCs w:val="21"/>
              </w:rPr>
            </w:pPr>
            <w:r>
              <w:rPr>
                <w:rFonts w:hint="eastAsia" w:ascii="宋体" w:hAnsi="宋体"/>
                <w:szCs w:val="21"/>
              </w:rPr>
              <w:t>品牌</w:t>
            </w:r>
          </w:p>
        </w:tc>
        <w:tc>
          <w:tcPr>
            <w:tcW w:w="1157" w:type="dxa"/>
          </w:tcPr>
          <w:p>
            <w:pPr>
              <w:adjustRightInd w:val="0"/>
              <w:snapToGrid w:val="0"/>
              <w:spacing w:line="400" w:lineRule="atLeast"/>
              <w:ind w:left="-88" w:leftChars="-42"/>
              <w:jc w:val="center"/>
              <w:rPr>
                <w:rFonts w:ascii="宋体" w:hAnsi="宋体"/>
                <w:b/>
                <w:szCs w:val="21"/>
              </w:rPr>
            </w:pPr>
            <w:r>
              <w:rPr>
                <w:rFonts w:hint="eastAsia" w:ascii="宋体" w:hAnsi="宋体"/>
                <w:szCs w:val="21"/>
              </w:rPr>
              <w:t>型号规格</w:t>
            </w:r>
          </w:p>
        </w:tc>
        <w:tc>
          <w:tcPr>
            <w:tcW w:w="2526" w:type="dxa"/>
          </w:tcPr>
          <w:p>
            <w:pPr>
              <w:adjustRightInd w:val="0"/>
              <w:snapToGrid w:val="0"/>
              <w:spacing w:line="400" w:lineRule="atLeast"/>
              <w:ind w:left="-88" w:leftChars="-42"/>
              <w:jc w:val="center"/>
              <w:rPr>
                <w:rFonts w:ascii="宋体" w:hAnsi="宋体"/>
                <w:b/>
                <w:szCs w:val="21"/>
              </w:rPr>
            </w:pPr>
            <w:r>
              <w:rPr>
                <w:rFonts w:hint="eastAsia" w:ascii="宋体" w:hAnsi="宋体"/>
                <w:szCs w:val="21"/>
              </w:rPr>
              <w:t>主要技术参数和技术指标</w:t>
            </w:r>
          </w:p>
        </w:tc>
        <w:tc>
          <w:tcPr>
            <w:tcW w:w="1185" w:type="dxa"/>
          </w:tcPr>
          <w:p>
            <w:pPr>
              <w:adjustRightInd w:val="0"/>
              <w:snapToGrid w:val="0"/>
              <w:spacing w:line="400" w:lineRule="atLeast"/>
              <w:ind w:left="-88" w:leftChars="-42"/>
              <w:jc w:val="center"/>
              <w:rPr>
                <w:rFonts w:ascii="宋体" w:hAnsi="宋体"/>
                <w:bCs/>
                <w:szCs w:val="21"/>
              </w:rPr>
            </w:pPr>
            <w:r>
              <w:rPr>
                <w:rFonts w:hint="eastAsia" w:ascii="宋体" w:hAnsi="宋体"/>
                <w:szCs w:val="21"/>
              </w:rPr>
              <w:t>数量</w:t>
            </w:r>
          </w:p>
        </w:tc>
        <w:tc>
          <w:tcPr>
            <w:tcW w:w="1060" w:type="dxa"/>
          </w:tcPr>
          <w:p>
            <w:pPr>
              <w:adjustRightInd w:val="0"/>
              <w:snapToGrid w:val="0"/>
              <w:spacing w:line="400" w:lineRule="atLeast"/>
              <w:ind w:left="-88" w:leftChars="-42"/>
              <w:jc w:val="center"/>
              <w:rPr>
                <w:rFonts w:ascii="宋体" w:hAnsi="宋体"/>
                <w:b/>
                <w:szCs w:val="21"/>
              </w:rPr>
            </w:pPr>
            <w:r>
              <w:rPr>
                <w:rFonts w:hint="eastAsia" w:ascii="宋体" w:hAnsi="宋体"/>
                <w:bCs/>
                <w:szCs w:val="21"/>
              </w:rPr>
              <w:t>备  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0"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01" w:hRule="atLeast"/>
        </w:trPr>
        <w:tc>
          <w:tcPr>
            <w:tcW w:w="583" w:type="dxa"/>
          </w:tcPr>
          <w:p>
            <w:pPr>
              <w:adjustRightInd w:val="0"/>
              <w:snapToGrid w:val="0"/>
              <w:spacing w:line="400" w:lineRule="atLeast"/>
              <w:ind w:left="-88" w:leftChars="-42"/>
              <w:jc w:val="center"/>
              <w:rPr>
                <w:rFonts w:ascii="宋体" w:hAnsi="宋体"/>
                <w:b/>
                <w:szCs w:val="21"/>
              </w:rPr>
            </w:pPr>
          </w:p>
        </w:tc>
        <w:tc>
          <w:tcPr>
            <w:tcW w:w="1029" w:type="dxa"/>
          </w:tcPr>
          <w:p>
            <w:pPr>
              <w:adjustRightInd w:val="0"/>
              <w:snapToGrid w:val="0"/>
              <w:spacing w:line="400" w:lineRule="atLeast"/>
              <w:ind w:left="-88" w:leftChars="-42"/>
              <w:jc w:val="center"/>
              <w:rPr>
                <w:rFonts w:ascii="宋体" w:hAnsi="宋体"/>
                <w:b/>
                <w:szCs w:val="21"/>
              </w:rPr>
            </w:pPr>
          </w:p>
        </w:tc>
        <w:tc>
          <w:tcPr>
            <w:tcW w:w="942"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1157" w:type="dxa"/>
          </w:tcPr>
          <w:p>
            <w:pPr>
              <w:adjustRightInd w:val="0"/>
              <w:snapToGrid w:val="0"/>
              <w:spacing w:line="400" w:lineRule="atLeast"/>
              <w:ind w:left="-88" w:leftChars="-42"/>
              <w:jc w:val="center"/>
              <w:rPr>
                <w:rFonts w:ascii="宋体" w:hAnsi="宋体"/>
                <w:b/>
                <w:szCs w:val="21"/>
              </w:rPr>
            </w:pPr>
          </w:p>
        </w:tc>
        <w:tc>
          <w:tcPr>
            <w:tcW w:w="2526" w:type="dxa"/>
          </w:tcPr>
          <w:p>
            <w:pPr>
              <w:adjustRightInd w:val="0"/>
              <w:snapToGrid w:val="0"/>
              <w:spacing w:line="400" w:lineRule="atLeast"/>
              <w:ind w:left="-88" w:leftChars="-42"/>
              <w:jc w:val="center"/>
              <w:rPr>
                <w:rFonts w:ascii="宋体" w:hAnsi="宋体"/>
                <w:b/>
                <w:szCs w:val="21"/>
              </w:rPr>
            </w:pPr>
          </w:p>
        </w:tc>
        <w:tc>
          <w:tcPr>
            <w:tcW w:w="1185" w:type="dxa"/>
          </w:tcPr>
          <w:p>
            <w:pPr>
              <w:adjustRightInd w:val="0"/>
              <w:snapToGrid w:val="0"/>
              <w:spacing w:line="400" w:lineRule="atLeast"/>
              <w:ind w:left="-88" w:leftChars="-42"/>
              <w:jc w:val="center"/>
              <w:rPr>
                <w:rFonts w:ascii="宋体" w:hAnsi="宋体"/>
                <w:b/>
                <w:szCs w:val="21"/>
              </w:rPr>
            </w:pPr>
          </w:p>
        </w:tc>
        <w:tc>
          <w:tcPr>
            <w:tcW w:w="1060" w:type="dxa"/>
          </w:tcPr>
          <w:p>
            <w:pPr>
              <w:adjustRightInd w:val="0"/>
              <w:snapToGrid w:val="0"/>
              <w:spacing w:line="400" w:lineRule="atLeast"/>
              <w:ind w:left="-88" w:leftChars="-42"/>
              <w:jc w:val="center"/>
              <w:rPr>
                <w:rFonts w:ascii="宋体" w:hAnsi="宋体"/>
                <w:b/>
                <w:szCs w:val="21"/>
              </w:rPr>
            </w:pPr>
          </w:p>
        </w:tc>
      </w:tr>
    </w:tbl>
    <w:p>
      <w:pPr>
        <w:pStyle w:val="24"/>
        <w:adjustRightInd w:val="0"/>
        <w:snapToGrid w:val="0"/>
        <w:ind w:left="-88" w:leftChars="-42"/>
        <w:rPr>
          <w:rFonts w:ascii="宋体" w:hAnsi="宋体"/>
          <w:bCs/>
          <w:sz w:val="21"/>
          <w:szCs w:val="21"/>
        </w:rPr>
      </w:pPr>
    </w:p>
    <w:p>
      <w:pPr>
        <w:pStyle w:val="24"/>
        <w:adjustRightInd w:val="0"/>
        <w:snapToGrid w:val="0"/>
        <w:ind w:left="-88" w:leftChars="-42"/>
        <w:rPr>
          <w:rFonts w:ascii="仿宋_GB2312" w:hAnsi="宋体" w:eastAsia="仿宋_GB2312"/>
          <w:bCs/>
          <w:sz w:val="21"/>
          <w:szCs w:val="21"/>
        </w:rPr>
      </w:pPr>
      <w:r>
        <w:rPr>
          <w:rFonts w:hint="eastAsia" w:ascii="仿宋_GB2312" w:hAnsi="宋体" w:eastAsia="仿宋_GB2312"/>
          <w:b/>
          <w:sz w:val="21"/>
          <w:szCs w:val="21"/>
        </w:rPr>
        <w:t>备注</w:t>
      </w:r>
      <w:r>
        <w:rPr>
          <w:rFonts w:hint="eastAsia" w:ascii="仿宋_GB2312" w:hAnsi="宋体" w:eastAsia="仿宋_GB2312"/>
          <w:bCs/>
          <w:sz w:val="21"/>
          <w:szCs w:val="21"/>
        </w:rPr>
        <w:t>：货物的主要技术参数和技术指标可另页描述。</w:t>
      </w:r>
    </w:p>
    <w:p>
      <w:pPr>
        <w:adjustRightInd w:val="0"/>
        <w:snapToGrid w:val="0"/>
        <w:spacing w:line="360" w:lineRule="auto"/>
        <w:ind w:left="-88" w:leftChars="-42"/>
        <w:rPr>
          <w:rFonts w:ascii="宋体" w:hAnsi="宋体"/>
          <w:szCs w:val="21"/>
        </w:rPr>
      </w:pPr>
    </w:p>
    <w:p>
      <w:pPr>
        <w:adjustRightInd w:val="0"/>
        <w:snapToGrid w:val="0"/>
        <w:spacing w:line="360" w:lineRule="auto"/>
        <w:ind w:left="-88" w:leftChars="-42"/>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投标人名称（单位章）：</w:t>
      </w:r>
    </w:p>
    <w:p>
      <w:pPr>
        <w:adjustRightInd w:val="0"/>
        <w:snapToGrid w:val="0"/>
        <w:spacing w:before="50"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before="5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黑体" w:hAnsi="黑体" w:eastAsia="黑体"/>
          <w:b/>
          <w:sz w:val="30"/>
          <w:szCs w:val="30"/>
        </w:rPr>
      </w:pPr>
      <w:bookmarkStart w:id="354" w:name="_Toc418504673"/>
    </w:p>
    <w:p>
      <w:pPr>
        <w:rPr>
          <w:rFonts w:ascii="黑体" w:hAnsi="黑体" w:eastAsia="黑体"/>
          <w:b/>
          <w:sz w:val="30"/>
          <w:szCs w:val="30"/>
        </w:rPr>
      </w:pPr>
    </w:p>
    <w:p>
      <w:pPr>
        <w:rPr>
          <w:rFonts w:ascii="黑体" w:hAnsi="黑体" w:eastAsia="黑体"/>
          <w:b/>
          <w:sz w:val="30"/>
          <w:szCs w:val="30"/>
        </w:rPr>
      </w:pPr>
    </w:p>
    <w:p>
      <w:pPr>
        <w:rPr>
          <w:rFonts w:ascii="黑体" w:hAnsi="黑体" w:eastAsia="黑体"/>
          <w:b/>
          <w:sz w:val="30"/>
          <w:szCs w:val="30"/>
        </w:rPr>
      </w:pPr>
    </w:p>
    <w:p>
      <w:pPr>
        <w:rPr>
          <w:rFonts w:ascii="黑体" w:hAnsi="黑体" w:eastAsia="黑体"/>
          <w:b/>
          <w:sz w:val="30"/>
          <w:szCs w:val="30"/>
        </w:rPr>
      </w:pPr>
    </w:p>
    <w:p>
      <w:pPr>
        <w:rPr>
          <w:rFonts w:ascii="黑体" w:hAnsi="黑体" w:eastAsia="黑体"/>
          <w:b/>
          <w:sz w:val="30"/>
          <w:szCs w:val="30"/>
        </w:rPr>
      </w:pPr>
    </w:p>
    <w:p>
      <w:pPr>
        <w:rPr>
          <w:rFonts w:ascii="黑体" w:hAnsi="黑体" w:eastAsia="黑体"/>
          <w:b/>
          <w:sz w:val="30"/>
          <w:szCs w:val="30"/>
        </w:rPr>
      </w:pPr>
    </w:p>
    <w:p>
      <w:pPr>
        <w:pStyle w:val="4"/>
        <w:rPr>
          <w:rFonts w:ascii="黑体" w:hAnsi="黑体" w:eastAsia="黑体" w:cs="仿宋"/>
          <w:sz w:val="28"/>
          <w:szCs w:val="21"/>
        </w:rPr>
      </w:pPr>
      <w:bookmarkStart w:id="355" w:name="_Toc5587_WPSOffice_Level2"/>
      <w:bookmarkStart w:id="356" w:name="_Toc536603267"/>
      <w:r>
        <w:rPr>
          <w:rFonts w:hint="eastAsia" w:ascii="黑体" w:hAnsi="黑体" w:eastAsia="黑体" w:cs="仿宋"/>
          <w:sz w:val="28"/>
          <w:szCs w:val="21"/>
        </w:rPr>
        <w:t>九、技术规格、参数响应/偏离表</w:t>
      </w:r>
      <w:bookmarkEnd w:id="355"/>
      <w:bookmarkEnd w:id="356"/>
    </w:p>
    <w:p>
      <w:pPr>
        <w:adjustRightInd w:val="0"/>
        <w:snapToGrid w:val="0"/>
        <w:spacing w:line="360" w:lineRule="auto"/>
        <w:jc w:val="center"/>
        <w:rPr>
          <w:rFonts w:ascii="宋体" w:hAnsi="宋体"/>
          <w:b/>
        </w:rPr>
      </w:pPr>
    </w:p>
    <w:p>
      <w:pPr>
        <w:adjustRightInd w:val="0"/>
        <w:snapToGrid w:val="0"/>
        <w:rPr>
          <w:rFonts w:ascii="宋体" w:hAnsi="宋体"/>
          <w:szCs w:val="21"/>
          <w:u w:val="single"/>
        </w:rPr>
      </w:pPr>
      <w:r>
        <w:rPr>
          <w:rFonts w:hint="eastAsia" w:ascii="宋体" w:hAnsi="宋体"/>
          <w:spacing w:val="28"/>
          <w:szCs w:val="21"/>
        </w:rPr>
        <w:t>政府采购编号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p>
    <w:tbl>
      <w:tblPr>
        <w:tblStyle w:val="40"/>
        <w:tblW w:w="873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107"/>
        <w:gridCol w:w="1001"/>
        <w:gridCol w:w="1579"/>
        <w:gridCol w:w="1308"/>
        <w:gridCol w:w="1324"/>
        <w:gridCol w:w="1003"/>
        <w:gridCol w:w="14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68" w:hRule="atLeast"/>
          <w:jc w:val="center"/>
        </w:trPr>
        <w:tc>
          <w:tcPr>
            <w:tcW w:w="1107" w:type="dxa"/>
            <w:vAlign w:val="center"/>
          </w:tcPr>
          <w:p>
            <w:pPr>
              <w:adjustRightInd w:val="0"/>
              <w:snapToGrid w:val="0"/>
              <w:ind w:left="-88" w:leftChars="-42"/>
              <w:jc w:val="center"/>
              <w:rPr>
                <w:rFonts w:ascii="宋体" w:hAnsi="宋体"/>
                <w:szCs w:val="21"/>
              </w:rPr>
            </w:pPr>
            <w:r>
              <w:rPr>
                <w:rFonts w:hint="eastAsia" w:ascii="宋体" w:hAnsi="宋体"/>
                <w:szCs w:val="21"/>
              </w:rPr>
              <w:t>品目号</w:t>
            </w:r>
          </w:p>
        </w:tc>
        <w:tc>
          <w:tcPr>
            <w:tcW w:w="1001" w:type="dxa"/>
            <w:vAlign w:val="center"/>
          </w:tcPr>
          <w:p>
            <w:pPr>
              <w:adjustRightInd w:val="0"/>
              <w:snapToGrid w:val="0"/>
              <w:ind w:left="-88" w:leftChars="-42"/>
              <w:jc w:val="center"/>
              <w:rPr>
                <w:rFonts w:ascii="宋体" w:hAnsi="宋体"/>
                <w:szCs w:val="21"/>
              </w:rPr>
            </w:pPr>
            <w:r>
              <w:rPr>
                <w:rFonts w:hint="eastAsia" w:ascii="宋体" w:hAnsi="宋体"/>
                <w:szCs w:val="21"/>
              </w:rPr>
              <w:t>货物名称</w:t>
            </w:r>
          </w:p>
        </w:tc>
        <w:tc>
          <w:tcPr>
            <w:tcW w:w="1579" w:type="dxa"/>
            <w:vAlign w:val="center"/>
          </w:tcPr>
          <w:p>
            <w:pPr>
              <w:adjustRightInd w:val="0"/>
              <w:snapToGrid w:val="0"/>
              <w:ind w:left="-88" w:leftChars="-42"/>
              <w:jc w:val="center"/>
              <w:rPr>
                <w:rFonts w:ascii="宋体" w:hAnsi="宋体"/>
                <w:szCs w:val="21"/>
              </w:rPr>
            </w:pPr>
            <w:r>
              <w:rPr>
                <w:rFonts w:hint="eastAsia" w:ascii="宋体" w:hAnsi="宋体"/>
                <w:szCs w:val="21"/>
              </w:rPr>
              <w:t>招标文件条目号</w:t>
            </w:r>
          </w:p>
        </w:tc>
        <w:tc>
          <w:tcPr>
            <w:tcW w:w="1308" w:type="dxa"/>
            <w:vAlign w:val="center"/>
          </w:tcPr>
          <w:p>
            <w:pPr>
              <w:adjustRightInd w:val="0"/>
              <w:snapToGrid w:val="0"/>
              <w:ind w:left="-88" w:leftChars="-42"/>
              <w:jc w:val="center"/>
              <w:rPr>
                <w:rFonts w:ascii="宋体" w:hAnsi="宋体"/>
                <w:szCs w:val="21"/>
              </w:rPr>
            </w:pPr>
            <w:r>
              <w:rPr>
                <w:rFonts w:hint="eastAsia" w:ascii="宋体" w:hAnsi="宋体"/>
                <w:szCs w:val="21"/>
              </w:rPr>
              <w:t>招标规格</w:t>
            </w:r>
          </w:p>
        </w:tc>
        <w:tc>
          <w:tcPr>
            <w:tcW w:w="1324" w:type="dxa"/>
            <w:vAlign w:val="center"/>
          </w:tcPr>
          <w:p>
            <w:pPr>
              <w:adjustRightInd w:val="0"/>
              <w:snapToGrid w:val="0"/>
              <w:ind w:left="-88" w:leftChars="-42"/>
              <w:jc w:val="center"/>
              <w:rPr>
                <w:rFonts w:ascii="宋体" w:hAnsi="宋体"/>
                <w:szCs w:val="21"/>
              </w:rPr>
            </w:pPr>
            <w:r>
              <w:rPr>
                <w:rFonts w:hint="eastAsia" w:ascii="宋体" w:hAnsi="宋体"/>
                <w:szCs w:val="21"/>
              </w:rPr>
              <w:t>投标规格</w:t>
            </w:r>
          </w:p>
        </w:tc>
        <w:tc>
          <w:tcPr>
            <w:tcW w:w="1003" w:type="dxa"/>
            <w:vAlign w:val="center"/>
          </w:tcPr>
          <w:p>
            <w:pPr>
              <w:adjustRightInd w:val="0"/>
              <w:snapToGrid w:val="0"/>
              <w:ind w:left="-88" w:leftChars="-42"/>
              <w:jc w:val="center"/>
              <w:rPr>
                <w:rFonts w:ascii="宋体" w:hAnsi="宋体"/>
                <w:szCs w:val="21"/>
              </w:rPr>
            </w:pPr>
            <w:r>
              <w:rPr>
                <w:rFonts w:hint="eastAsia" w:ascii="宋体" w:hAnsi="宋体"/>
                <w:szCs w:val="21"/>
              </w:rPr>
              <w:t>响应/偏离</w:t>
            </w:r>
          </w:p>
        </w:tc>
        <w:tc>
          <w:tcPr>
            <w:tcW w:w="1409" w:type="dxa"/>
            <w:vAlign w:val="center"/>
          </w:tcPr>
          <w:p>
            <w:pPr>
              <w:adjustRightInd w:val="0"/>
              <w:snapToGrid w:val="0"/>
              <w:ind w:left="-88" w:leftChars="-42"/>
              <w:jc w:val="center"/>
              <w:rPr>
                <w:rFonts w:ascii="宋体" w:hAnsi="宋体"/>
                <w:szCs w:val="21"/>
              </w:rPr>
            </w:pPr>
            <w:r>
              <w:rPr>
                <w:rFonts w:hint="eastAsia" w:ascii="宋体" w:hAnsi="宋体"/>
                <w:szCs w:val="21"/>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2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57" w:hRule="atLeast"/>
          <w:jc w:val="center"/>
        </w:trPr>
        <w:tc>
          <w:tcPr>
            <w:tcW w:w="1107" w:type="dxa"/>
            <w:vAlign w:val="center"/>
          </w:tcPr>
          <w:p>
            <w:pPr>
              <w:adjustRightInd w:val="0"/>
              <w:snapToGrid w:val="0"/>
              <w:ind w:left="-88" w:leftChars="-42"/>
              <w:jc w:val="center"/>
              <w:rPr>
                <w:rFonts w:ascii="宋体" w:hAnsi="宋体"/>
                <w:szCs w:val="21"/>
              </w:rPr>
            </w:pPr>
          </w:p>
        </w:tc>
        <w:tc>
          <w:tcPr>
            <w:tcW w:w="1001" w:type="dxa"/>
            <w:vAlign w:val="center"/>
          </w:tcPr>
          <w:p>
            <w:pPr>
              <w:adjustRightInd w:val="0"/>
              <w:snapToGrid w:val="0"/>
              <w:ind w:left="-88" w:leftChars="-42"/>
              <w:jc w:val="center"/>
              <w:rPr>
                <w:rFonts w:ascii="宋体" w:hAnsi="宋体"/>
                <w:szCs w:val="21"/>
              </w:rPr>
            </w:pPr>
          </w:p>
        </w:tc>
        <w:tc>
          <w:tcPr>
            <w:tcW w:w="1579" w:type="dxa"/>
            <w:vAlign w:val="center"/>
          </w:tcPr>
          <w:p>
            <w:pPr>
              <w:adjustRightInd w:val="0"/>
              <w:snapToGrid w:val="0"/>
              <w:ind w:left="-88" w:leftChars="-42"/>
              <w:jc w:val="center"/>
              <w:rPr>
                <w:rFonts w:ascii="宋体" w:hAnsi="宋体"/>
                <w:szCs w:val="21"/>
              </w:rPr>
            </w:pPr>
          </w:p>
        </w:tc>
        <w:tc>
          <w:tcPr>
            <w:tcW w:w="1308" w:type="dxa"/>
            <w:vAlign w:val="center"/>
          </w:tcPr>
          <w:p>
            <w:pPr>
              <w:adjustRightInd w:val="0"/>
              <w:snapToGrid w:val="0"/>
              <w:ind w:left="-88" w:leftChars="-42"/>
              <w:jc w:val="center"/>
              <w:rPr>
                <w:rFonts w:ascii="宋体" w:hAnsi="宋体"/>
                <w:szCs w:val="21"/>
              </w:rPr>
            </w:pPr>
          </w:p>
        </w:tc>
        <w:tc>
          <w:tcPr>
            <w:tcW w:w="1324" w:type="dxa"/>
            <w:vAlign w:val="center"/>
          </w:tcPr>
          <w:p>
            <w:pPr>
              <w:adjustRightInd w:val="0"/>
              <w:snapToGrid w:val="0"/>
              <w:ind w:left="-88" w:leftChars="-42"/>
              <w:jc w:val="center"/>
              <w:rPr>
                <w:rFonts w:ascii="宋体" w:hAnsi="宋体"/>
                <w:szCs w:val="21"/>
              </w:rPr>
            </w:pPr>
          </w:p>
        </w:tc>
        <w:tc>
          <w:tcPr>
            <w:tcW w:w="1003" w:type="dxa"/>
            <w:vAlign w:val="center"/>
          </w:tcPr>
          <w:p>
            <w:pPr>
              <w:adjustRightInd w:val="0"/>
              <w:snapToGrid w:val="0"/>
              <w:ind w:left="-88" w:leftChars="-42"/>
              <w:jc w:val="center"/>
              <w:rPr>
                <w:rFonts w:ascii="宋体" w:hAnsi="宋体"/>
                <w:szCs w:val="21"/>
              </w:rPr>
            </w:pPr>
          </w:p>
        </w:tc>
        <w:tc>
          <w:tcPr>
            <w:tcW w:w="1409" w:type="dxa"/>
            <w:vAlign w:val="center"/>
          </w:tcPr>
          <w:p>
            <w:pPr>
              <w:adjustRightInd w:val="0"/>
              <w:snapToGrid w:val="0"/>
              <w:ind w:left="-88" w:leftChars="-42"/>
              <w:jc w:val="center"/>
              <w:rPr>
                <w:rFonts w:ascii="宋体" w:hAnsi="宋体"/>
                <w:szCs w:val="21"/>
              </w:rPr>
            </w:pPr>
          </w:p>
        </w:tc>
      </w:tr>
    </w:tbl>
    <w:p>
      <w:pPr>
        <w:adjustRightInd w:val="0"/>
        <w:snapToGrid w:val="0"/>
        <w:ind w:left="-88" w:leftChars="-42"/>
        <w:rPr>
          <w:rFonts w:ascii="仿宋_GB2312" w:hAnsi="宋体" w:eastAsia="仿宋_GB2312"/>
          <w:b/>
          <w:szCs w:val="21"/>
        </w:rPr>
      </w:pPr>
    </w:p>
    <w:p>
      <w:pPr>
        <w:adjustRightInd w:val="0"/>
        <w:snapToGrid w:val="0"/>
        <w:ind w:left="-88" w:leftChars="-42"/>
        <w:rPr>
          <w:rFonts w:ascii="仿宋_GB2312" w:hAnsi="宋体" w:eastAsia="仿宋_GB2312"/>
          <w:szCs w:val="21"/>
        </w:rPr>
      </w:pPr>
      <w:r>
        <w:rPr>
          <w:rFonts w:hint="eastAsia" w:ascii="仿宋_GB2312" w:hAnsi="宋体" w:eastAsia="仿宋_GB2312"/>
          <w:b/>
          <w:szCs w:val="21"/>
        </w:rPr>
        <w:t>备注</w:t>
      </w:r>
      <w:r>
        <w:rPr>
          <w:rFonts w:hint="eastAsia" w:ascii="仿宋_GB2312" w:hAnsi="宋体" w:eastAsia="仿宋_GB2312"/>
          <w:szCs w:val="21"/>
        </w:rPr>
        <w:t>：“响应/偏离”栏应注明“响应”或“偏离”。</w:t>
      </w: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投标人名称（单位章）：</w:t>
      </w:r>
    </w:p>
    <w:p>
      <w:pPr>
        <w:adjustRightInd w:val="0"/>
        <w:snapToGrid w:val="0"/>
        <w:spacing w:before="50"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before="5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_</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pStyle w:val="4"/>
        <w:rPr>
          <w:rFonts w:ascii="黑体" w:hAnsi="黑体" w:eastAsia="黑体" w:cs="仿宋"/>
          <w:sz w:val="28"/>
          <w:szCs w:val="21"/>
        </w:rPr>
      </w:pPr>
      <w:bookmarkStart w:id="357" w:name="_Toc1579_WPSOffice_Level2"/>
      <w:bookmarkStart w:id="358" w:name="_Toc536603268"/>
      <w:r>
        <w:rPr>
          <w:rFonts w:hint="eastAsia" w:ascii="黑体" w:hAnsi="黑体" w:eastAsia="黑体" w:cs="仿宋"/>
          <w:sz w:val="28"/>
          <w:szCs w:val="21"/>
        </w:rPr>
        <w:t>十、</w:t>
      </w:r>
      <w:bookmarkEnd w:id="357"/>
      <w:r>
        <w:rPr>
          <w:rFonts w:hint="eastAsia" w:ascii="黑体" w:hAnsi="黑体" w:eastAsia="黑体" w:cs="仿宋"/>
          <w:sz w:val="28"/>
          <w:szCs w:val="21"/>
        </w:rPr>
        <w:t>技术人员情况简介</w:t>
      </w:r>
      <w:bookmarkEnd w:id="358"/>
    </w:p>
    <w:p>
      <w:pPr>
        <w:spacing w:line="440" w:lineRule="exact"/>
        <w:jc w:val="center"/>
        <w:rPr>
          <w:rFonts w:ascii="宋体" w:hAnsi="宋体" w:cs="Tahoma"/>
          <w:b/>
          <w:bCs/>
          <w:kern w:val="32"/>
          <w:sz w:val="24"/>
          <w:szCs w:val="32"/>
        </w:rPr>
      </w:pPr>
      <w:r>
        <w:rPr>
          <w:rFonts w:hint="eastAsia" w:ascii="宋体" w:hAnsi="宋体" w:cs="Tahoma"/>
          <w:b/>
          <w:bCs/>
          <w:kern w:val="32"/>
          <w:sz w:val="24"/>
          <w:szCs w:val="32"/>
        </w:rPr>
        <w:t>拟投入本项目技术人员表（一）</w:t>
      </w:r>
    </w:p>
    <w:tbl>
      <w:tblPr>
        <w:tblStyle w:val="40"/>
        <w:tblpPr w:leftFromText="180" w:rightFromText="180" w:vertAnchor="text" w:horzAnchor="margin" w:tblpXSpec="center" w:tblpY="193"/>
        <w:tblW w:w="11412" w:type="dxa"/>
        <w:tblInd w:w="0" w:type="dxa"/>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900"/>
        <w:gridCol w:w="1564"/>
        <w:gridCol w:w="904"/>
        <w:gridCol w:w="1800"/>
        <w:gridCol w:w="2500"/>
        <w:gridCol w:w="1872"/>
        <w:gridCol w:w="1872"/>
      </w:tblGrid>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525" w:hRule="atLeast"/>
        </w:trPr>
        <w:tc>
          <w:tcPr>
            <w:tcW w:w="900" w:type="dxa"/>
            <w:vAlign w:val="center"/>
          </w:tcPr>
          <w:p>
            <w:pPr>
              <w:spacing w:line="360" w:lineRule="auto"/>
              <w:ind w:right="28"/>
              <w:jc w:val="center"/>
              <w:rPr>
                <w:rFonts w:ascii="宋体" w:hAnsi="宋体"/>
              </w:rPr>
            </w:pPr>
            <w:r>
              <w:rPr>
                <w:rFonts w:hint="eastAsia" w:ascii="宋体" w:hAnsi="宋体"/>
              </w:rPr>
              <w:t>姓 名</w:t>
            </w:r>
          </w:p>
        </w:tc>
        <w:tc>
          <w:tcPr>
            <w:tcW w:w="1564" w:type="dxa"/>
            <w:vAlign w:val="center"/>
          </w:tcPr>
          <w:p>
            <w:pPr>
              <w:spacing w:line="360" w:lineRule="auto"/>
              <w:ind w:right="28"/>
              <w:jc w:val="center"/>
              <w:rPr>
                <w:rFonts w:ascii="宋体" w:hAnsi="宋体"/>
              </w:rPr>
            </w:pPr>
            <w:r>
              <w:rPr>
                <w:rFonts w:hint="eastAsia" w:ascii="宋体" w:hAnsi="宋体"/>
              </w:rPr>
              <w:t>部门和职务</w:t>
            </w:r>
          </w:p>
        </w:tc>
        <w:tc>
          <w:tcPr>
            <w:tcW w:w="904" w:type="dxa"/>
            <w:vAlign w:val="center"/>
          </w:tcPr>
          <w:p>
            <w:pPr>
              <w:spacing w:line="360" w:lineRule="auto"/>
              <w:ind w:right="28"/>
              <w:jc w:val="center"/>
              <w:rPr>
                <w:rFonts w:ascii="宋体" w:hAnsi="宋体"/>
              </w:rPr>
            </w:pPr>
            <w:r>
              <w:rPr>
                <w:rFonts w:hint="eastAsia" w:ascii="宋体" w:hAnsi="宋体"/>
              </w:rPr>
              <w:t>职责</w:t>
            </w:r>
          </w:p>
        </w:tc>
        <w:tc>
          <w:tcPr>
            <w:tcW w:w="1800" w:type="dxa"/>
            <w:vAlign w:val="center"/>
          </w:tcPr>
          <w:p>
            <w:pPr>
              <w:spacing w:line="360" w:lineRule="auto"/>
              <w:ind w:right="28"/>
              <w:jc w:val="center"/>
              <w:rPr>
                <w:rFonts w:ascii="宋体" w:hAnsi="宋体"/>
              </w:rPr>
            </w:pPr>
            <w:r>
              <w:rPr>
                <w:rFonts w:hint="eastAsia" w:ascii="宋体" w:hAnsi="宋体"/>
              </w:rPr>
              <w:t>认证资质证书</w:t>
            </w:r>
          </w:p>
        </w:tc>
        <w:tc>
          <w:tcPr>
            <w:tcW w:w="2500" w:type="dxa"/>
            <w:tcBorders>
              <w:right w:val="single" w:color="auto" w:sz="4" w:space="0"/>
            </w:tcBorders>
            <w:vAlign w:val="center"/>
          </w:tcPr>
          <w:p>
            <w:pPr>
              <w:spacing w:line="240" w:lineRule="atLeast"/>
              <w:ind w:right="28"/>
              <w:jc w:val="center"/>
              <w:rPr>
                <w:rFonts w:ascii="宋体" w:hAnsi="宋体"/>
              </w:rPr>
            </w:pPr>
            <w:r>
              <w:rPr>
                <w:rFonts w:hint="eastAsia" w:ascii="宋体" w:hAnsi="宋体"/>
              </w:rPr>
              <w:t>证书号</w:t>
            </w:r>
          </w:p>
        </w:tc>
        <w:tc>
          <w:tcPr>
            <w:tcW w:w="1872" w:type="dxa"/>
            <w:tcBorders>
              <w:right w:val="single" w:color="auto" w:sz="4" w:space="0"/>
            </w:tcBorders>
          </w:tcPr>
          <w:p>
            <w:pPr>
              <w:spacing w:line="240" w:lineRule="atLeast"/>
              <w:ind w:right="28"/>
              <w:jc w:val="center"/>
              <w:rPr>
                <w:rFonts w:ascii="宋体" w:hAnsi="宋体"/>
              </w:rPr>
            </w:pPr>
            <w:r>
              <w:rPr>
                <w:rFonts w:hint="eastAsia" w:ascii="宋体" w:hAnsi="宋体"/>
              </w:rPr>
              <w:t>主要资历、经验及承担过的项目</w:t>
            </w:r>
          </w:p>
        </w:tc>
        <w:tc>
          <w:tcPr>
            <w:tcW w:w="1872" w:type="dxa"/>
            <w:tcBorders>
              <w:left w:val="single" w:color="auto" w:sz="4" w:space="0"/>
            </w:tcBorders>
            <w:vAlign w:val="center"/>
          </w:tcPr>
          <w:p>
            <w:pPr>
              <w:spacing w:line="240" w:lineRule="atLeast"/>
              <w:ind w:right="28"/>
              <w:jc w:val="center"/>
              <w:rPr>
                <w:rFonts w:ascii="宋体" w:hAnsi="宋体"/>
              </w:rPr>
            </w:pPr>
            <w:r>
              <w:rPr>
                <w:rFonts w:hint="eastAsia" w:ascii="宋体" w:hAnsi="宋体"/>
              </w:rPr>
              <w:t>获奖情况</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315" w:hRule="atLeast"/>
        </w:trPr>
        <w:tc>
          <w:tcPr>
            <w:tcW w:w="900" w:type="dxa"/>
            <w:vAlign w:val="center"/>
          </w:tcPr>
          <w:p>
            <w:pPr>
              <w:spacing w:line="360" w:lineRule="auto"/>
              <w:ind w:right="28"/>
              <w:jc w:val="center"/>
              <w:rPr>
                <w:rFonts w:ascii="宋体" w:hAnsi="宋体"/>
              </w:rPr>
            </w:pPr>
          </w:p>
        </w:tc>
        <w:tc>
          <w:tcPr>
            <w:tcW w:w="1564" w:type="dxa"/>
            <w:vAlign w:val="center"/>
          </w:tcPr>
          <w:p>
            <w:pPr>
              <w:spacing w:line="360" w:lineRule="auto"/>
              <w:ind w:right="28"/>
              <w:jc w:val="center"/>
              <w:rPr>
                <w:rFonts w:ascii="宋体" w:hAnsi="宋体"/>
              </w:rPr>
            </w:pPr>
          </w:p>
        </w:tc>
        <w:tc>
          <w:tcPr>
            <w:tcW w:w="904" w:type="dxa"/>
            <w:vAlign w:val="center"/>
          </w:tcPr>
          <w:p>
            <w:pPr>
              <w:spacing w:line="360" w:lineRule="auto"/>
              <w:ind w:right="28"/>
              <w:jc w:val="center"/>
              <w:rPr>
                <w:rFonts w:ascii="宋体" w:hAnsi="宋体"/>
              </w:rPr>
            </w:pPr>
          </w:p>
        </w:tc>
        <w:tc>
          <w:tcPr>
            <w:tcW w:w="1800" w:type="dxa"/>
            <w:vAlign w:val="center"/>
          </w:tcPr>
          <w:p>
            <w:pPr>
              <w:spacing w:line="360" w:lineRule="auto"/>
              <w:ind w:right="28"/>
              <w:jc w:val="center"/>
              <w:rPr>
                <w:rFonts w:ascii="宋体" w:hAnsi="宋体"/>
              </w:rPr>
            </w:pPr>
          </w:p>
        </w:tc>
        <w:tc>
          <w:tcPr>
            <w:tcW w:w="2500" w:type="dxa"/>
            <w:tcBorders>
              <w:right w:val="single" w:color="auto" w:sz="4" w:space="0"/>
            </w:tcBorders>
            <w:vAlign w:val="center"/>
          </w:tcPr>
          <w:p>
            <w:pPr>
              <w:spacing w:line="360" w:lineRule="auto"/>
              <w:ind w:right="28"/>
              <w:jc w:val="center"/>
              <w:rPr>
                <w:rFonts w:ascii="宋体" w:hAnsi="宋体"/>
              </w:rPr>
            </w:pPr>
          </w:p>
        </w:tc>
        <w:tc>
          <w:tcPr>
            <w:tcW w:w="1872" w:type="dxa"/>
            <w:tcBorders>
              <w:right w:val="single" w:color="auto" w:sz="4" w:space="0"/>
            </w:tcBorders>
          </w:tcPr>
          <w:p>
            <w:pPr>
              <w:spacing w:line="360" w:lineRule="auto"/>
              <w:ind w:right="28"/>
              <w:jc w:val="center"/>
              <w:rPr>
                <w:rFonts w:ascii="宋体" w:hAnsi="宋体"/>
              </w:rPr>
            </w:pPr>
          </w:p>
        </w:tc>
        <w:tc>
          <w:tcPr>
            <w:tcW w:w="1872" w:type="dxa"/>
            <w:tcBorders>
              <w:left w:val="single" w:color="auto" w:sz="4" w:space="0"/>
            </w:tcBorders>
            <w:vAlign w:val="center"/>
          </w:tcPr>
          <w:p>
            <w:pPr>
              <w:spacing w:line="360" w:lineRule="auto"/>
              <w:ind w:right="28"/>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904" w:type="dxa"/>
            <w:vAlign w:val="center"/>
          </w:tcPr>
          <w:p>
            <w:pPr>
              <w:spacing w:line="360" w:lineRule="auto"/>
              <w:ind w:right="28"/>
              <w:jc w:val="center"/>
            </w:pPr>
          </w:p>
        </w:tc>
        <w:tc>
          <w:tcPr>
            <w:tcW w:w="1800" w:type="dxa"/>
            <w:vAlign w:val="center"/>
          </w:tcPr>
          <w:p>
            <w:pPr>
              <w:spacing w:line="360" w:lineRule="auto"/>
              <w:ind w:right="28"/>
              <w:jc w:val="center"/>
            </w:pPr>
          </w:p>
        </w:tc>
        <w:tc>
          <w:tcPr>
            <w:tcW w:w="2500" w:type="dxa"/>
            <w:tcBorders>
              <w:right w:val="single" w:color="auto" w:sz="4" w:space="0"/>
            </w:tcBorders>
            <w:vAlign w:val="center"/>
          </w:tcPr>
          <w:p>
            <w:pPr>
              <w:spacing w:line="360" w:lineRule="auto"/>
              <w:ind w:right="28"/>
              <w:jc w:val="center"/>
            </w:pPr>
          </w:p>
        </w:tc>
        <w:tc>
          <w:tcPr>
            <w:tcW w:w="1872" w:type="dxa"/>
            <w:tcBorders>
              <w:right w:val="single" w:color="auto" w:sz="4" w:space="0"/>
            </w:tcBorders>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904" w:type="dxa"/>
            <w:vAlign w:val="center"/>
          </w:tcPr>
          <w:p>
            <w:pPr>
              <w:spacing w:line="360" w:lineRule="auto"/>
              <w:ind w:right="28"/>
              <w:jc w:val="center"/>
            </w:pPr>
          </w:p>
        </w:tc>
        <w:tc>
          <w:tcPr>
            <w:tcW w:w="1800" w:type="dxa"/>
            <w:vAlign w:val="center"/>
          </w:tcPr>
          <w:p>
            <w:pPr>
              <w:spacing w:line="360" w:lineRule="auto"/>
              <w:ind w:right="28"/>
              <w:jc w:val="center"/>
            </w:pPr>
          </w:p>
        </w:tc>
        <w:tc>
          <w:tcPr>
            <w:tcW w:w="2500" w:type="dxa"/>
            <w:tcBorders>
              <w:right w:val="single" w:color="auto" w:sz="4" w:space="0"/>
            </w:tcBorders>
            <w:vAlign w:val="center"/>
          </w:tcPr>
          <w:p>
            <w:pPr>
              <w:spacing w:line="360" w:lineRule="auto"/>
              <w:ind w:right="28"/>
              <w:jc w:val="center"/>
            </w:pPr>
          </w:p>
        </w:tc>
        <w:tc>
          <w:tcPr>
            <w:tcW w:w="1872" w:type="dxa"/>
            <w:tcBorders>
              <w:right w:val="single" w:color="auto" w:sz="4" w:space="0"/>
            </w:tcBorders>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904" w:type="dxa"/>
            <w:vAlign w:val="center"/>
          </w:tcPr>
          <w:p>
            <w:pPr>
              <w:spacing w:line="360" w:lineRule="auto"/>
              <w:ind w:right="28"/>
              <w:jc w:val="center"/>
            </w:pPr>
          </w:p>
        </w:tc>
        <w:tc>
          <w:tcPr>
            <w:tcW w:w="1800" w:type="dxa"/>
            <w:vAlign w:val="center"/>
          </w:tcPr>
          <w:p>
            <w:pPr>
              <w:spacing w:line="360" w:lineRule="auto"/>
              <w:ind w:right="28"/>
              <w:jc w:val="center"/>
            </w:pPr>
          </w:p>
        </w:tc>
        <w:tc>
          <w:tcPr>
            <w:tcW w:w="2500" w:type="dxa"/>
            <w:tcBorders>
              <w:right w:val="single" w:color="auto" w:sz="4" w:space="0"/>
            </w:tcBorders>
            <w:vAlign w:val="center"/>
          </w:tcPr>
          <w:p>
            <w:pPr>
              <w:spacing w:line="360" w:lineRule="auto"/>
              <w:ind w:right="28"/>
              <w:jc w:val="center"/>
            </w:pPr>
          </w:p>
        </w:tc>
        <w:tc>
          <w:tcPr>
            <w:tcW w:w="1872" w:type="dxa"/>
            <w:tcBorders>
              <w:right w:val="single" w:color="auto" w:sz="4" w:space="0"/>
            </w:tcBorders>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bl>
    <w:p>
      <w:pPr>
        <w:spacing w:line="360" w:lineRule="auto"/>
        <w:ind w:right="28"/>
        <w:rPr>
          <w:rFonts w:ascii="宋体" w:hAnsi="宋体"/>
        </w:rPr>
      </w:pPr>
      <w:r>
        <w:rPr>
          <w:rFonts w:hint="eastAsia" w:ascii="宋体" w:hAnsi="宋体"/>
        </w:rPr>
        <w:t>（此表可延长）</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投标人名称（单位章）：</w:t>
      </w:r>
    </w:p>
    <w:p>
      <w:pPr>
        <w:spacing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40" w:lineRule="exact"/>
        <w:jc w:val="center"/>
        <w:rPr>
          <w:rFonts w:ascii="宋体" w:hAnsi="宋体" w:cs="Tahoma"/>
          <w:b/>
          <w:bCs/>
          <w:kern w:val="32"/>
          <w:sz w:val="24"/>
          <w:szCs w:val="32"/>
        </w:rPr>
      </w:pPr>
    </w:p>
    <w:p>
      <w:pPr>
        <w:spacing w:line="440" w:lineRule="exact"/>
        <w:jc w:val="center"/>
        <w:rPr>
          <w:rFonts w:ascii="宋体" w:hAnsi="宋体" w:cs="Tahoma"/>
          <w:b/>
          <w:bCs/>
          <w:kern w:val="32"/>
          <w:sz w:val="24"/>
          <w:szCs w:val="32"/>
        </w:rPr>
      </w:pPr>
      <w:r>
        <w:rPr>
          <w:rFonts w:hint="eastAsia" w:ascii="宋体" w:hAnsi="宋体" w:cs="Tahoma"/>
          <w:b/>
          <w:bCs/>
          <w:kern w:val="32"/>
          <w:sz w:val="24"/>
          <w:szCs w:val="32"/>
        </w:rPr>
        <w:t>本单位技术人员情况表（二）</w:t>
      </w:r>
    </w:p>
    <w:tbl>
      <w:tblPr>
        <w:tblStyle w:val="40"/>
        <w:tblpPr w:leftFromText="180" w:rightFromText="180" w:vertAnchor="text" w:horzAnchor="margin" w:tblpY="193"/>
        <w:tblW w:w="9214" w:type="dxa"/>
        <w:tblInd w:w="0" w:type="dxa"/>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900"/>
        <w:gridCol w:w="1564"/>
        <w:gridCol w:w="1064"/>
        <w:gridCol w:w="1894"/>
        <w:gridCol w:w="1920"/>
        <w:gridCol w:w="1872"/>
      </w:tblGrid>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525" w:hRule="atLeast"/>
        </w:trPr>
        <w:tc>
          <w:tcPr>
            <w:tcW w:w="900" w:type="dxa"/>
            <w:vAlign w:val="center"/>
          </w:tcPr>
          <w:p>
            <w:pPr>
              <w:spacing w:line="240" w:lineRule="atLeast"/>
              <w:ind w:right="28"/>
              <w:jc w:val="center"/>
              <w:rPr>
                <w:rFonts w:ascii="宋体" w:hAnsi="宋体"/>
              </w:rPr>
            </w:pPr>
            <w:r>
              <w:rPr>
                <w:rFonts w:hint="eastAsia" w:ascii="宋体" w:hAnsi="宋体"/>
              </w:rPr>
              <w:t>姓 名</w:t>
            </w:r>
          </w:p>
        </w:tc>
        <w:tc>
          <w:tcPr>
            <w:tcW w:w="1564" w:type="dxa"/>
            <w:vAlign w:val="center"/>
          </w:tcPr>
          <w:p>
            <w:pPr>
              <w:spacing w:line="240" w:lineRule="atLeast"/>
              <w:ind w:right="28"/>
              <w:jc w:val="center"/>
              <w:rPr>
                <w:rFonts w:ascii="宋体" w:hAnsi="宋体"/>
              </w:rPr>
            </w:pPr>
            <w:r>
              <w:rPr>
                <w:rFonts w:hint="eastAsia" w:ascii="宋体" w:hAnsi="宋体"/>
              </w:rPr>
              <w:t>部门和职务</w:t>
            </w:r>
          </w:p>
        </w:tc>
        <w:tc>
          <w:tcPr>
            <w:tcW w:w="1064" w:type="dxa"/>
            <w:vAlign w:val="center"/>
          </w:tcPr>
          <w:p>
            <w:pPr>
              <w:spacing w:line="240" w:lineRule="atLeast"/>
              <w:ind w:right="28"/>
              <w:jc w:val="center"/>
              <w:rPr>
                <w:rFonts w:ascii="宋体" w:hAnsi="宋体"/>
              </w:rPr>
            </w:pPr>
            <w:r>
              <w:rPr>
                <w:rFonts w:hint="eastAsia" w:ascii="宋体" w:hAnsi="宋体"/>
              </w:rPr>
              <w:t>学历</w:t>
            </w:r>
          </w:p>
        </w:tc>
        <w:tc>
          <w:tcPr>
            <w:tcW w:w="1894" w:type="dxa"/>
            <w:vAlign w:val="center"/>
          </w:tcPr>
          <w:p>
            <w:pPr>
              <w:spacing w:line="240" w:lineRule="atLeast"/>
              <w:ind w:right="28"/>
              <w:jc w:val="center"/>
              <w:rPr>
                <w:rFonts w:ascii="宋体" w:hAnsi="宋体"/>
              </w:rPr>
            </w:pPr>
            <w:r>
              <w:rPr>
                <w:rFonts w:hint="eastAsia" w:ascii="宋体" w:hAnsi="宋体"/>
              </w:rPr>
              <w:t>从事本工作年限</w:t>
            </w:r>
          </w:p>
        </w:tc>
        <w:tc>
          <w:tcPr>
            <w:tcW w:w="1920" w:type="dxa"/>
            <w:tcBorders>
              <w:right w:val="single" w:color="auto" w:sz="4" w:space="0"/>
            </w:tcBorders>
            <w:vAlign w:val="center"/>
          </w:tcPr>
          <w:p>
            <w:pPr>
              <w:spacing w:line="240" w:lineRule="atLeast"/>
              <w:ind w:right="28"/>
              <w:jc w:val="center"/>
              <w:rPr>
                <w:rFonts w:ascii="宋体" w:hAnsi="宋体"/>
              </w:rPr>
            </w:pPr>
            <w:r>
              <w:rPr>
                <w:rFonts w:hint="eastAsia" w:ascii="宋体" w:hAnsi="宋体"/>
              </w:rPr>
              <w:t>认证资质证书</w:t>
            </w:r>
          </w:p>
        </w:tc>
        <w:tc>
          <w:tcPr>
            <w:tcW w:w="1872" w:type="dxa"/>
            <w:tcBorders>
              <w:left w:val="single" w:color="auto" w:sz="4" w:space="0"/>
            </w:tcBorders>
            <w:vAlign w:val="center"/>
          </w:tcPr>
          <w:p>
            <w:pPr>
              <w:spacing w:line="240" w:lineRule="atLeast"/>
              <w:ind w:right="28"/>
              <w:jc w:val="center"/>
              <w:rPr>
                <w:rFonts w:ascii="宋体" w:hAnsi="宋体"/>
              </w:rPr>
            </w:pPr>
            <w:r>
              <w:rPr>
                <w:rFonts w:hint="eastAsia" w:ascii="宋体" w:hAnsi="宋体"/>
              </w:rPr>
              <w:t>证书号</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315" w:hRule="atLeast"/>
        </w:trPr>
        <w:tc>
          <w:tcPr>
            <w:tcW w:w="900" w:type="dxa"/>
            <w:vAlign w:val="center"/>
          </w:tcPr>
          <w:p>
            <w:pPr>
              <w:spacing w:line="360" w:lineRule="auto"/>
              <w:ind w:right="28"/>
              <w:jc w:val="center"/>
              <w:rPr>
                <w:rFonts w:ascii="宋体" w:hAnsi="宋体"/>
              </w:rPr>
            </w:pPr>
          </w:p>
        </w:tc>
        <w:tc>
          <w:tcPr>
            <w:tcW w:w="1564" w:type="dxa"/>
            <w:vAlign w:val="center"/>
          </w:tcPr>
          <w:p>
            <w:pPr>
              <w:spacing w:line="360" w:lineRule="auto"/>
              <w:ind w:right="28"/>
              <w:jc w:val="center"/>
              <w:rPr>
                <w:rFonts w:ascii="宋体" w:hAnsi="宋体"/>
              </w:rPr>
            </w:pPr>
          </w:p>
        </w:tc>
        <w:tc>
          <w:tcPr>
            <w:tcW w:w="1064" w:type="dxa"/>
            <w:vAlign w:val="center"/>
          </w:tcPr>
          <w:p>
            <w:pPr>
              <w:spacing w:line="360" w:lineRule="auto"/>
              <w:ind w:right="28"/>
              <w:jc w:val="center"/>
              <w:rPr>
                <w:rFonts w:ascii="宋体" w:hAnsi="宋体"/>
              </w:rPr>
            </w:pPr>
          </w:p>
        </w:tc>
        <w:tc>
          <w:tcPr>
            <w:tcW w:w="1894" w:type="dxa"/>
            <w:vAlign w:val="center"/>
          </w:tcPr>
          <w:p>
            <w:pPr>
              <w:spacing w:line="360" w:lineRule="auto"/>
              <w:ind w:right="28"/>
              <w:jc w:val="center"/>
              <w:rPr>
                <w:rFonts w:ascii="宋体" w:hAnsi="宋体"/>
              </w:rPr>
            </w:pPr>
          </w:p>
        </w:tc>
        <w:tc>
          <w:tcPr>
            <w:tcW w:w="1920" w:type="dxa"/>
            <w:tcBorders>
              <w:right w:val="single" w:color="auto" w:sz="4" w:space="0"/>
            </w:tcBorders>
            <w:vAlign w:val="center"/>
          </w:tcPr>
          <w:p>
            <w:pPr>
              <w:spacing w:line="360" w:lineRule="auto"/>
              <w:ind w:right="28"/>
              <w:jc w:val="center"/>
              <w:rPr>
                <w:rFonts w:ascii="宋体" w:hAnsi="宋体"/>
              </w:rPr>
            </w:pPr>
          </w:p>
        </w:tc>
        <w:tc>
          <w:tcPr>
            <w:tcW w:w="1872" w:type="dxa"/>
            <w:tcBorders>
              <w:left w:val="single" w:color="auto" w:sz="4" w:space="0"/>
            </w:tcBorders>
            <w:vAlign w:val="center"/>
          </w:tcPr>
          <w:p>
            <w:pPr>
              <w:spacing w:line="360" w:lineRule="auto"/>
              <w:ind w:right="28"/>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1064" w:type="dxa"/>
            <w:vAlign w:val="center"/>
          </w:tcPr>
          <w:p>
            <w:pPr>
              <w:spacing w:line="360" w:lineRule="auto"/>
              <w:ind w:right="28"/>
              <w:jc w:val="center"/>
            </w:pPr>
          </w:p>
        </w:tc>
        <w:tc>
          <w:tcPr>
            <w:tcW w:w="1894" w:type="dxa"/>
            <w:vAlign w:val="center"/>
          </w:tcPr>
          <w:p>
            <w:pPr>
              <w:spacing w:line="360" w:lineRule="auto"/>
              <w:ind w:right="28"/>
              <w:jc w:val="center"/>
            </w:pPr>
          </w:p>
        </w:tc>
        <w:tc>
          <w:tcPr>
            <w:tcW w:w="1920" w:type="dxa"/>
            <w:tcBorders>
              <w:right w:val="single" w:color="auto" w:sz="4" w:space="0"/>
            </w:tcBorders>
            <w:vAlign w:val="center"/>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1064" w:type="dxa"/>
            <w:vAlign w:val="center"/>
          </w:tcPr>
          <w:p>
            <w:pPr>
              <w:spacing w:line="360" w:lineRule="auto"/>
              <w:ind w:right="28"/>
              <w:jc w:val="center"/>
            </w:pPr>
          </w:p>
        </w:tc>
        <w:tc>
          <w:tcPr>
            <w:tcW w:w="1894" w:type="dxa"/>
            <w:vAlign w:val="center"/>
          </w:tcPr>
          <w:p>
            <w:pPr>
              <w:spacing w:line="360" w:lineRule="auto"/>
              <w:ind w:right="28"/>
              <w:jc w:val="center"/>
            </w:pPr>
          </w:p>
        </w:tc>
        <w:tc>
          <w:tcPr>
            <w:tcW w:w="1920" w:type="dxa"/>
            <w:tcBorders>
              <w:right w:val="single" w:color="auto" w:sz="4" w:space="0"/>
            </w:tcBorders>
            <w:vAlign w:val="center"/>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05" w:hRule="atLeast"/>
        </w:trPr>
        <w:tc>
          <w:tcPr>
            <w:tcW w:w="900" w:type="dxa"/>
            <w:vAlign w:val="center"/>
          </w:tcPr>
          <w:p>
            <w:pPr>
              <w:spacing w:line="360" w:lineRule="auto"/>
              <w:ind w:right="28"/>
              <w:jc w:val="center"/>
            </w:pPr>
          </w:p>
        </w:tc>
        <w:tc>
          <w:tcPr>
            <w:tcW w:w="1564" w:type="dxa"/>
            <w:vAlign w:val="center"/>
          </w:tcPr>
          <w:p>
            <w:pPr>
              <w:spacing w:line="360" w:lineRule="auto"/>
              <w:ind w:right="28"/>
              <w:jc w:val="center"/>
            </w:pPr>
          </w:p>
        </w:tc>
        <w:tc>
          <w:tcPr>
            <w:tcW w:w="1064" w:type="dxa"/>
            <w:vAlign w:val="center"/>
          </w:tcPr>
          <w:p>
            <w:pPr>
              <w:spacing w:line="360" w:lineRule="auto"/>
              <w:ind w:right="28"/>
              <w:jc w:val="center"/>
            </w:pPr>
          </w:p>
        </w:tc>
        <w:tc>
          <w:tcPr>
            <w:tcW w:w="1894" w:type="dxa"/>
            <w:vAlign w:val="center"/>
          </w:tcPr>
          <w:p>
            <w:pPr>
              <w:spacing w:line="360" w:lineRule="auto"/>
              <w:ind w:right="28"/>
              <w:jc w:val="center"/>
            </w:pPr>
          </w:p>
        </w:tc>
        <w:tc>
          <w:tcPr>
            <w:tcW w:w="1920" w:type="dxa"/>
            <w:tcBorders>
              <w:right w:val="single" w:color="auto" w:sz="4" w:space="0"/>
            </w:tcBorders>
            <w:vAlign w:val="center"/>
          </w:tcPr>
          <w:p>
            <w:pPr>
              <w:spacing w:line="360" w:lineRule="auto"/>
              <w:ind w:right="28"/>
              <w:jc w:val="center"/>
            </w:pPr>
          </w:p>
        </w:tc>
        <w:tc>
          <w:tcPr>
            <w:tcW w:w="1872" w:type="dxa"/>
            <w:tcBorders>
              <w:left w:val="single" w:color="auto" w:sz="4" w:space="0"/>
            </w:tcBorders>
            <w:vAlign w:val="center"/>
          </w:tcPr>
          <w:p>
            <w:pPr>
              <w:spacing w:line="360" w:lineRule="auto"/>
              <w:ind w:right="28"/>
              <w:jc w:val="center"/>
            </w:pPr>
          </w:p>
        </w:tc>
      </w:tr>
    </w:tbl>
    <w:p>
      <w:pPr>
        <w:spacing w:line="360" w:lineRule="auto"/>
        <w:ind w:right="28"/>
        <w:rPr>
          <w:rFonts w:ascii="宋体" w:hAnsi="宋体"/>
        </w:rPr>
      </w:pPr>
    </w:p>
    <w:p>
      <w:pPr>
        <w:spacing w:line="360" w:lineRule="auto"/>
        <w:rPr>
          <w:rFonts w:ascii="宋体" w:hAnsi="宋体"/>
          <w:szCs w:val="21"/>
        </w:rPr>
      </w:pPr>
      <w:r>
        <w:rPr>
          <w:rFonts w:hint="eastAsia" w:ascii="宋体" w:hAnsi="宋体"/>
          <w:szCs w:val="21"/>
        </w:rPr>
        <w:t>投标人名称（单位章）：</w:t>
      </w:r>
    </w:p>
    <w:p>
      <w:pPr>
        <w:spacing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黑体" w:hAnsi="宋体" w:eastAsia="黑体"/>
          <w:b/>
          <w:sz w:val="28"/>
          <w:szCs w:val="28"/>
        </w:rPr>
      </w:pPr>
    </w:p>
    <w:p>
      <w:pPr>
        <w:pStyle w:val="4"/>
        <w:rPr>
          <w:rFonts w:ascii="黑体" w:hAnsi="黑体" w:eastAsia="黑体" w:cs="仿宋"/>
          <w:sz w:val="28"/>
          <w:szCs w:val="21"/>
        </w:rPr>
      </w:pPr>
      <w:bookmarkStart w:id="359" w:name="_Toc31266_WPSOffice_Level2"/>
      <w:bookmarkStart w:id="360" w:name="_Toc536603269"/>
      <w:r>
        <w:rPr>
          <w:rFonts w:hint="eastAsia" w:ascii="黑体" w:hAnsi="黑体" w:eastAsia="黑体" w:cs="仿宋"/>
          <w:sz w:val="28"/>
          <w:szCs w:val="21"/>
        </w:rPr>
        <w:t>十一、售后服务承诺书</w:t>
      </w:r>
      <w:bookmarkEnd w:id="359"/>
      <w:bookmarkEnd w:id="360"/>
    </w:p>
    <w:p>
      <w:pPr>
        <w:spacing w:line="360" w:lineRule="auto"/>
        <w:rPr>
          <w:rFonts w:ascii="宋体" w:hAnsi="宋体"/>
          <w:szCs w:val="21"/>
        </w:rPr>
      </w:pPr>
    </w:p>
    <w:p>
      <w:pPr>
        <w:adjustRightInd w:val="0"/>
        <w:snapToGrid w:val="0"/>
        <w:spacing w:line="360" w:lineRule="auto"/>
        <w:outlineLvl w:val="0"/>
        <w:rPr>
          <w:rFonts w:ascii="宋体" w:hAnsi="宋体" w:cs="Tahoma"/>
          <w:b/>
          <w:bCs/>
          <w:kern w:val="32"/>
          <w:sz w:val="24"/>
          <w:szCs w:val="32"/>
        </w:rPr>
      </w:pPr>
      <w:bookmarkStart w:id="361" w:name="_Toc536603270"/>
      <w:r>
        <w:rPr>
          <w:rFonts w:hint="eastAsia" w:ascii="宋体" w:hAnsi="宋体" w:cs="Tahoma"/>
          <w:b/>
          <w:bCs/>
          <w:kern w:val="32"/>
          <w:sz w:val="24"/>
          <w:szCs w:val="32"/>
        </w:rPr>
        <w:t>附件1、售后服务承诺：</w:t>
      </w:r>
      <w:bookmarkEnd w:id="361"/>
    </w:p>
    <w:p>
      <w:pPr>
        <w:spacing w:line="440" w:lineRule="exact"/>
        <w:ind w:firstLine="420" w:firstLineChars="200"/>
        <w:jc w:val="left"/>
        <w:rPr>
          <w:rFonts w:ascii="宋体"/>
        </w:rPr>
      </w:pPr>
      <w:r>
        <w:rPr>
          <w:rFonts w:hint="eastAsia" w:ascii="宋体"/>
        </w:rPr>
        <w:t>1、我公司为本项目下售后服务的各项内容等，特此承诺（如投标人为经销商或代理商，招标文件有特定要求的，应另附厂家的售后服务承诺）：</w:t>
      </w:r>
    </w:p>
    <w:p>
      <w:pPr>
        <w:pStyle w:val="22"/>
        <w:spacing w:line="380" w:lineRule="exact"/>
        <w:ind w:firstLine="210" w:firstLineChars="100"/>
      </w:pPr>
      <w:r>
        <w:rPr>
          <w:rFonts w:hint="eastAsia"/>
        </w:rPr>
        <w:t>（1）服务措施、服务响应时间和故障排出时间；</w:t>
      </w:r>
    </w:p>
    <w:p>
      <w:pPr>
        <w:pStyle w:val="22"/>
        <w:spacing w:line="380" w:lineRule="exact"/>
        <w:ind w:firstLine="210" w:firstLineChars="100"/>
      </w:pPr>
    </w:p>
    <w:p>
      <w:pPr>
        <w:pStyle w:val="22"/>
        <w:spacing w:line="380" w:lineRule="exact"/>
        <w:ind w:firstLine="210" w:firstLineChars="100"/>
      </w:pPr>
      <w:r>
        <w:rPr>
          <w:rFonts w:hint="eastAsia"/>
        </w:rPr>
        <w:t>（2）质保期限；</w:t>
      </w:r>
    </w:p>
    <w:p>
      <w:pPr>
        <w:pStyle w:val="22"/>
        <w:spacing w:line="380" w:lineRule="exact"/>
        <w:ind w:firstLine="210" w:firstLineChars="100"/>
      </w:pPr>
    </w:p>
    <w:p>
      <w:pPr>
        <w:pStyle w:val="22"/>
        <w:spacing w:line="380" w:lineRule="exact"/>
        <w:ind w:firstLine="210" w:firstLineChars="100"/>
      </w:pPr>
      <w:r>
        <w:rPr>
          <w:rFonts w:hint="eastAsia"/>
        </w:rPr>
        <w:t>（3）服务网点（湖南省内是否有服务网点及专门的服务人员,有关证明资料，提供网点名称、地址、电话、人员等情况)；</w:t>
      </w:r>
    </w:p>
    <w:p>
      <w:pPr>
        <w:pStyle w:val="22"/>
        <w:spacing w:line="380" w:lineRule="exact"/>
        <w:ind w:firstLine="764" w:firstLineChars="364"/>
        <w:outlineLvl w:val="0"/>
      </w:pPr>
    </w:p>
    <w:p>
      <w:pPr>
        <w:pStyle w:val="22"/>
        <w:spacing w:line="380" w:lineRule="exact"/>
        <w:ind w:firstLine="210" w:firstLineChars="100"/>
      </w:pPr>
      <w:r>
        <w:rPr>
          <w:rFonts w:hint="eastAsia"/>
        </w:rPr>
        <w:t>（4）售后服务方面的其它承诺。</w:t>
      </w:r>
    </w:p>
    <w:p>
      <w:pPr>
        <w:spacing w:line="360" w:lineRule="exact"/>
        <w:ind w:firstLine="420"/>
        <w:rPr>
          <w:rFonts w:ascii="宋体"/>
        </w:rPr>
      </w:pPr>
      <w:r>
        <w:rPr>
          <w:rFonts w:hint="eastAsia" w:ascii="宋体"/>
        </w:rPr>
        <w:t>A．我方为正规渠道进货并保证：如果我方中标，所供设备为全新合格正品，提供全套所需清单及相关证明、所有设备均能享受厂家质保，我方对此负完全法律责任。</w:t>
      </w:r>
    </w:p>
    <w:p>
      <w:pPr>
        <w:spacing w:line="360" w:lineRule="exact"/>
        <w:ind w:firstLine="420"/>
      </w:pPr>
      <w:r>
        <w:rPr>
          <w:rFonts w:hint="eastAsia"/>
        </w:rPr>
        <w:t>B．其它：</w:t>
      </w:r>
    </w:p>
    <w:p>
      <w:pPr>
        <w:spacing w:line="440" w:lineRule="exact"/>
        <w:jc w:val="left"/>
        <w:rPr>
          <w:rFonts w:ascii="宋体"/>
        </w:rPr>
      </w:pPr>
      <w:r>
        <w:rPr>
          <w:rFonts w:hint="eastAsia" w:ascii="宋体"/>
        </w:rPr>
        <w:t xml:space="preserve">   2、所投设备的质量保证期</w:t>
      </w:r>
    </w:p>
    <w:tbl>
      <w:tblPr>
        <w:tblStyle w:val="40"/>
        <w:tblW w:w="88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985"/>
        <w:gridCol w:w="2036"/>
        <w:gridCol w:w="4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756" w:type="dxa"/>
            <w:vAlign w:val="center"/>
          </w:tcPr>
          <w:p>
            <w:pPr>
              <w:pStyle w:val="35"/>
              <w:jc w:val="center"/>
              <w:rPr>
                <w:rFonts w:ascii="宋体"/>
              </w:rPr>
            </w:pPr>
            <w:r>
              <w:rPr>
                <w:rFonts w:hint="eastAsia" w:ascii="宋体"/>
              </w:rPr>
              <w:t>序号</w:t>
            </w:r>
          </w:p>
        </w:tc>
        <w:tc>
          <w:tcPr>
            <w:tcW w:w="1985" w:type="dxa"/>
            <w:vAlign w:val="center"/>
          </w:tcPr>
          <w:p>
            <w:pPr>
              <w:pStyle w:val="35"/>
              <w:jc w:val="center"/>
              <w:rPr>
                <w:rFonts w:ascii="宋体"/>
              </w:rPr>
            </w:pPr>
            <w:r>
              <w:rPr>
                <w:rFonts w:hint="eastAsia" w:ascii="宋体"/>
              </w:rPr>
              <w:t>设备名称</w:t>
            </w:r>
          </w:p>
        </w:tc>
        <w:tc>
          <w:tcPr>
            <w:tcW w:w="2036" w:type="dxa"/>
            <w:vAlign w:val="center"/>
          </w:tcPr>
          <w:p>
            <w:pPr>
              <w:pStyle w:val="35"/>
              <w:jc w:val="center"/>
              <w:rPr>
                <w:rFonts w:ascii="宋体"/>
              </w:rPr>
            </w:pPr>
            <w:r>
              <w:rPr>
                <w:rFonts w:hint="eastAsia" w:ascii="宋体"/>
              </w:rPr>
              <w:t>质保期（年）</w:t>
            </w:r>
          </w:p>
        </w:tc>
        <w:tc>
          <w:tcPr>
            <w:tcW w:w="4090" w:type="dxa"/>
            <w:vAlign w:val="center"/>
          </w:tcPr>
          <w:p>
            <w:pPr>
              <w:pStyle w:val="35"/>
              <w:jc w:val="center"/>
              <w:rPr>
                <w:rFonts w:ascii="宋体"/>
              </w:rPr>
            </w:pPr>
            <w:r>
              <w:rPr>
                <w:rFonts w:hint="eastAsia" w:ascii="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756" w:type="dxa"/>
          </w:tcPr>
          <w:p>
            <w:pPr>
              <w:pStyle w:val="35"/>
              <w:rPr>
                <w:rFonts w:ascii="宋体"/>
              </w:rPr>
            </w:pPr>
          </w:p>
        </w:tc>
        <w:tc>
          <w:tcPr>
            <w:tcW w:w="1985" w:type="dxa"/>
          </w:tcPr>
          <w:p>
            <w:pPr>
              <w:pStyle w:val="35"/>
              <w:rPr>
                <w:rFonts w:ascii="宋体"/>
              </w:rPr>
            </w:pPr>
          </w:p>
        </w:tc>
        <w:tc>
          <w:tcPr>
            <w:tcW w:w="2036" w:type="dxa"/>
          </w:tcPr>
          <w:p>
            <w:pPr>
              <w:pStyle w:val="35"/>
              <w:rPr>
                <w:rFonts w:ascii="宋体"/>
              </w:rPr>
            </w:pPr>
          </w:p>
        </w:tc>
        <w:tc>
          <w:tcPr>
            <w:tcW w:w="4090" w:type="dxa"/>
          </w:tcPr>
          <w:p>
            <w:pPr>
              <w:pStyle w:val="35"/>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756" w:type="dxa"/>
          </w:tcPr>
          <w:p>
            <w:pPr>
              <w:pStyle w:val="35"/>
              <w:rPr>
                <w:rFonts w:ascii="宋体"/>
              </w:rPr>
            </w:pPr>
          </w:p>
        </w:tc>
        <w:tc>
          <w:tcPr>
            <w:tcW w:w="1985" w:type="dxa"/>
          </w:tcPr>
          <w:p>
            <w:pPr>
              <w:pStyle w:val="35"/>
              <w:rPr>
                <w:rFonts w:ascii="宋体"/>
              </w:rPr>
            </w:pPr>
          </w:p>
        </w:tc>
        <w:tc>
          <w:tcPr>
            <w:tcW w:w="2036" w:type="dxa"/>
          </w:tcPr>
          <w:p>
            <w:pPr>
              <w:pStyle w:val="35"/>
              <w:rPr>
                <w:rFonts w:ascii="宋体"/>
              </w:rPr>
            </w:pPr>
          </w:p>
        </w:tc>
        <w:tc>
          <w:tcPr>
            <w:tcW w:w="4090" w:type="dxa"/>
          </w:tcPr>
          <w:p>
            <w:pPr>
              <w:pStyle w:val="35"/>
              <w:rPr>
                <w:rFonts w:ascii="宋体"/>
              </w:rPr>
            </w:pPr>
          </w:p>
        </w:tc>
      </w:tr>
    </w:tbl>
    <w:p>
      <w:pPr>
        <w:rPr>
          <w:rFonts w:ascii="宋体"/>
          <w:szCs w:val="21"/>
        </w:rPr>
      </w:pPr>
    </w:p>
    <w:p>
      <w:pPr>
        <w:rPr>
          <w:rFonts w:ascii="宋体"/>
          <w:kern w:val="0"/>
        </w:rPr>
      </w:pPr>
      <w:r>
        <w:rPr>
          <w:rFonts w:hint="eastAsia" w:ascii="宋体"/>
          <w:kern w:val="0"/>
        </w:rPr>
        <w:t>说明：服务承诺其他格式可由投标人自定，以不低于本招标文件中有关服务要求中提出的标准填写，需要相关文件证明的，应提供相应资料。</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投标人名称（单位章）：</w:t>
      </w:r>
    </w:p>
    <w:p>
      <w:pPr>
        <w:spacing w:line="360" w:lineRule="auto"/>
        <w:rPr>
          <w:rFonts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szCs w:val="21"/>
        </w:rPr>
      </w:pPr>
    </w:p>
    <w:p>
      <w:pPr>
        <w:spacing w:line="360" w:lineRule="auto"/>
        <w:rPr>
          <w:rFonts w:ascii="宋体" w:hAnsi="宋体"/>
          <w:szCs w:val="21"/>
        </w:rPr>
      </w:pPr>
    </w:p>
    <w:p>
      <w:pPr>
        <w:widowControl/>
        <w:spacing w:line="480" w:lineRule="exact"/>
        <w:rPr>
          <w:rFonts w:ascii="宋体" w:hAnsi="宋体" w:cs="Tahoma"/>
          <w:b/>
          <w:bCs/>
          <w:kern w:val="32"/>
          <w:sz w:val="24"/>
          <w:szCs w:val="32"/>
        </w:rPr>
      </w:pPr>
      <w:r>
        <w:rPr>
          <w:rFonts w:hint="eastAsia" w:ascii="宋体" w:hAnsi="宋体" w:cs="Tahoma"/>
          <w:b/>
          <w:bCs/>
          <w:kern w:val="32"/>
          <w:sz w:val="24"/>
          <w:szCs w:val="32"/>
        </w:rPr>
        <w:t>附件2、销售业绩一览表（格式）</w:t>
      </w:r>
    </w:p>
    <w:p>
      <w:pPr>
        <w:widowControl/>
        <w:spacing w:line="480" w:lineRule="exact"/>
        <w:rPr>
          <w:rFonts w:ascii="宋体" w:hAnsi="宋体" w:cs="Tahoma"/>
          <w:b/>
          <w:bCs/>
          <w:kern w:val="32"/>
          <w:sz w:val="24"/>
          <w:szCs w:val="32"/>
        </w:rPr>
      </w:pPr>
    </w:p>
    <w:p>
      <w:pPr>
        <w:spacing w:line="480" w:lineRule="exact"/>
        <w:rPr>
          <w:rFonts w:ascii="宋体"/>
          <w:szCs w:val="21"/>
        </w:rPr>
      </w:pPr>
      <w:r>
        <w:rPr>
          <w:rFonts w:hint="eastAsia" w:ascii="宋体"/>
          <w:b/>
          <w:szCs w:val="21"/>
        </w:rPr>
        <w:t>采购编号：</w:t>
      </w:r>
    </w:p>
    <w:tbl>
      <w:tblPr>
        <w:tblStyle w:val="40"/>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060"/>
        <w:gridCol w:w="1577"/>
        <w:gridCol w:w="1577"/>
        <w:gridCol w:w="1235"/>
        <w:gridCol w:w="1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top w:val="double" w:color="auto" w:sz="4" w:space="0"/>
              <w:left w:val="double" w:color="auto" w:sz="4" w:space="0"/>
            </w:tcBorders>
          </w:tcPr>
          <w:p>
            <w:pPr>
              <w:spacing w:line="480" w:lineRule="exact"/>
              <w:jc w:val="center"/>
              <w:rPr>
                <w:rFonts w:ascii="宋体"/>
                <w:b/>
                <w:bCs/>
                <w:szCs w:val="21"/>
              </w:rPr>
            </w:pPr>
            <w:r>
              <w:rPr>
                <w:rFonts w:hint="eastAsia" w:ascii="宋体"/>
                <w:b/>
                <w:bCs/>
                <w:szCs w:val="21"/>
              </w:rPr>
              <w:t>序号</w:t>
            </w:r>
          </w:p>
        </w:tc>
        <w:tc>
          <w:tcPr>
            <w:tcW w:w="2060" w:type="dxa"/>
            <w:tcBorders>
              <w:top w:val="double" w:color="auto" w:sz="4" w:space="0"/>
            </w:tcBorders>
          </w:tcPr>
          <w:p>
            <w:pPr>
              <w:spacing w:line="480" w:lineRule="exact"/>
              <w:jc w:val="center"/>
              <w:rPr>
                <w:rFonts w:ascii="宋体"/>
                <w:b/>
                <w:bCs/>
                <w:szCs w:val="21"/>
              </w:rPr>
            </w:pPr>
            <w:r>
              <w:rPr>
                <w:rFonts w:hint="eastAsia" w:ascii="宋体"/>
                <w:b/>
                <w:bCs/>
                <w:szCs w:val="21"/>
              </w:rPr>
              <w:t>项目名称</w:t>
            </w:r>
          </w:p>
        </w:tc>
        <w:tc>
          <w:tcPr>
            <w:tcW w:w="1577" w:type="dxa"/>
            <w:tcBorders>
              <w:top w:val="double" w:color="auto" w:sz="4" w:space="0"/>
            </w:tcBorders>
          </w:tcPr>
          <w:p>
            <w:pPr>
              <w:spacing w:line="480" w:lineRule="exact"/>
              <w:jc w:val="center"/>
              <w:rPr>
                <w:rFonts w:ascii="宋体"/>
                <w:b/>
                <w:bCs/>
                <w:szCs w:val="21"/>
              </w:rPr>
            </w:pPr>
            <w:r>
              <w:rPr>
                <w:rFonts w:hint="eastAsia" w:ascii="宋体"/>
                <w:b/>
                <w:bCs/>
                <w:szCs w:val="21"/>
              </w:rPr>
              <w:t>合同金额</w:t>
            </w:r>
          </w:p>
        </w:tc>
        <w:tc>
          <w:tcPr>
            <w:tcW w:w="1577" w:type="dxa"/>
            <w:tcBorders>
              <w:top w:val="double" w:color="auto" w:sz="4" w:space="0"/>
            </w:tcBorders>
          </w:tcPr>
          <w:p>
            <w:pPr>
              <w:spacing w:line="480" w:lineRule="exact"/>
              <w:jc w:val="center"/>
              <w:rPr>
                <w:rFonts w:ascii="宋体"/>
                <w:b/>
                <w:bCs/>
                <w:szCs w:val="21"/>
              </w:rPr>
            </w:pPr>
            <w:r>
              <w:rPr>
                <w:rFonts w:hint="eastAsia" w:ascii="宋体"/>
                <w:b/>
                <w:bCs/>
                <w:szCs w:val="21"/>
              </w:rPr>
              <w:t>用户单位</w:t>
            </w:r>
          </w:p>
        </w:tc>
        <w:tc>
          <w:tcPr>
            <w:tcW w:w="1235" w:type="dxa"/>
            <w:tcBorders>
              <w:top w:val="double" w:color="auto" w:sz="4" w:space="0"/>
            </w:tcBorders>
          </w:tcPr>
          <w:p>
            <w:pPr>
              <w:spacing w:line="480" w:lineRule="exact"/>
              <w:jc w:val="center"/>
              <w:rPr>
                <w:rFonts w:ascii="宋体"/>
                <w:b/>
                <w:bCs/>
                <w:szCs w:val="21"/>
              </w:rPr>
            </w:pPr>
            <w:r>
              <w:rPr>
                <w:rFonts w:hint="eastAsia" w:ascii="宋体"/>
                <w:b/>
                <w:bCs/>
                <w:szCs w:val="21"/>
              </w:rPr>
              <w:t>联系人</w:t>
            </w:r>
          </w:p>
        </w:tc>
        <w:tc>
          <w:tcPr>
            <w:tcW w:w="1783" w:type="dxa"/>
            <w:tcBorders>
              <w:top w:val="double" w:color="auto" w:sz="4" w:space="0"/>
              <w:right w:val="double" w:color="auto" w:sz="4" w:space="0"/>
            </w:tcBorders>
          </w:tcPr>
          <w:p>
            <w:pPr>
              <w:spacing w:line="480" w:lineRule="exact"/>
              <w:jc w:val="center"/>
              <w:rPr>
                <w:rFonts w:ascii="宋体"/>
                <w:b/>
                <w:bCs/>
                <w:szCs w:val="21"/>
              </w:rPr>
            </w:pPr>
            <w:r>
              <w:rPr>
                <w:rFonts w:hint="eastAsia" w:ascii="宋体"/>
                <w:b/>
                <w:bCs/>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tcBorders>
          </w:tcPr>
          <w:p>
            <w:pPr>
              <w:spacing w:line="480" w:lineRule="exact"/>
              <w:rPr>
                <w:rFonts w:ascii="宋体"/>
                <w:b/>
                <w:bCs/>
                <w:szCs w:val="21"/>
              </w:rPr>
            </w:pPr>
          </w:p>
        </w:tc>
        <w:tc>
          <w:tcPr>
            <w:tcW w:w="2060"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577" w:type="dxa"/>
          </w:tcPr>
          <w:p>
            <w:pPr>
              <w:spacing w:line="480" w:lineRule="exact"/>
              <w:rPr>
                <w:rFonts w:ascii="宋体"/>
                <w:b/>
                <w:bCs/>
                <w:szCs w:val="21"/>
              </w:rPr>
            </w:pPr>
          </w:p>
        </w:tc>
        <w:tc>
          <w:tcPr>
            <w:tcW w:w="1235" w:type="dxa"/>
          </w:tcPr>
          <w:p>
            <w:pPr>
              <w:spacing w:line="480" w:lineRule="exact"/>
              <w:rPr>
                <w:rFonts w:ascii="宋体"/>
                <w:b/>
                <w:bCs/>
                <w:szCs w:val="21"/>
              </w:rPr>
            </w:pPr>
          </w:p>
        </w:tc>
        <w:tc>
          <w:tcPr>
            <w:tcW w:w="1783" w:type="dxa"/>
            <w:tcBorders>
              <w:right w:val="double" w:color="auto" w:sz="4" w:space="0"/>
            </w:tcBorders>
          </w:tcPr>
          <w:p>
            <w:pPr>
              <w:spacing w:line="480" w:lineRule="exact"/>
              <w:rPr>
                <w:rFonts w:asci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Borders>
              <w:left w:val="double" w:color="auto" w:sz="4" w:space="0"/>
              <w:bottom w:val="double" w:color="auto" w:sz="4" w:space="0"/>
            </w:tcBorders>
          </w:tcPr>
          <w:p>
            <w:pPr>
              <w:spacing w:line="480" w:lineRule="exact"/>
              <w:rPr>
                <w:rFonts w:ascii="宋体"/>
                <w:b/>
                <w:bCs/>
                <w:szCs w:val="21"/>
              </w:rPr>
            </w:pPr>
          </w:p>
        </w:tc>
        <w:tc>
          <w:tcPr>
            <w:tcW w:w="2060" w:type="dxa"/>
            <w:tcBorders>
              <w:bottom w:val="double" w:color="auto" w:sz="4" w:space="0"/>
            </w:tcBorders>
          </w:tcPr>
          <w:p>
            <w:pPr>
              <w:spacing w:line="480" w:lineRule="exact"/>
              <w:rPr>
                <w:rFonts w:ascii="宋体"/>
                <w:b/>
                <w:bCs/>
                <w:szCs w:val="21"/>
              </w:rPr>
            </w:pPr>
          </w:p>
        </w:tc>
        <w:tc>
          <w:tcPr>
            <w:tcW w:w="1577" w:type="dxa"/>
            <w:tcBorders>
              <w:bottom w:val="double" w:color="auto" w:sz="4" w:space="0"/>
            </w:tcBorders>
          </w:tcPr>
          <w:p>
            <w:pPr>
              <w:spacing w:line="480" w:lineRule="exact"/>
              <w:rPr>
                <w:rFonts w:ascii="宋体"/>
                <w:b/>
                <w:bCs/>
                <w:szCs w:val="21"/>
              </w:rPr>
            </w:pPr>
          </w:p>
        </w:tc>
        <w:tc>
          <w:tcPr>
            <w:tcW w:w="1577" w:type="dxa"/>
            <w:tcBorders>
              <w:bottom w:val="double" w:color="auto" w:sz="4" w:space="0"/>
            </w:tcBorders>
          </w:tcPr>
          <w:p>
            <w:pPr>
              <w:spacing w:line="480" w:lineRule="exact"/>
              <w:rPr>
                <w:rFonts w:ascii="宋体"/>
                <w:b/>
                <w:bCs/>
                <w:szCs w:val="21"/>
              </w:rPr>
            </w:pPr>
          </w:p>
        </w:tc>
        <w:tc>
          <w:tcPr>
            <w:tcW w:w="1235" w:type="dxa"/>
            <w:tcBorders>
              <w:bottom w:val="double" w:color="auto" w:sz="4" w:space="0"/>
            </w:tcBorders>
          </w:tcPr>
          <w:p>
            <w:pPr>
              <w:spacing w:line="480" w:lineRule="exact"/>
              <w:rPr>
                <w:rFonts w:ascii="宋体"/>
                <w:b/>
                <w:bCs/>
                <w:szCs w:val="21"/>
              </w:rPr>
            </w:pPr>
          </w:p>
        </w:tc>
        <w:tc>
          <w:tcPr>
            <w:tcW w:w="1783" w:type="dxa"/>
            <w:tcBorders>
              <w:bottom w:val="double" w:color="auto" w:sz="4" w:space="0"/>
              <w:right w:val="double" w:color="auto" w:sz="4" w:space="0"/>
            </w:tcBorders>
          </w:tcPr>
          <w:p>
            <w:pPr>
              <w:spacing w:line="480" w:lineRule="exact"/>
              <w:rPr>
                <w:rFonts w:ascii="宋体"/>
                <w:b/>
                <w:bCs/>
                <w:szCs w:val="21"/>
              </w:rPr>
            </w:pPr>
          </w:p>
        </w:tc>
      </w:tr>
    </w:tbl>
    <w:p>
      <w:pPr>
        <w:spacing w:line="400" w:lineRule="exact"/>
        <w:ind w:right="420" w:firstLine="3780" w:firstLineChars="1800"/>
        <w:rPr>
          <w:rFonts w:ascii="宋体"/>
          <w:szCs w:val="21"/>
          <w:u w:val="single"/>
        </w:rPr>
      </w:pPr>
      <w:r>
        <w:rPr>
          <w:rFonts w:hint="eastAsia" w:ascii="宋体"/>
          <w:szCs w:val="21"/>
        </w:rPr>
        <w:t xml:space="preserve">投标人名称: </w:t>
      </w:r>
      <w:r>
        <w:rPr>
          <w:rFonts w:hint="eastAsia" w:ascii="宋体"/>
          <w:szCs w:val="21"/>
          <w:u w:val="single"/>
        </w:rPr>
        <w:t xml:space="preserve">             </w:t>
      </w:r>
      <w:r>
        <w:rPr>
          <w:rFonts w:hint="eastAsia" w:ascii="宋体"/>
          <w:szCs w:val="21"/>
        </w:rPr>
        <w:t>(公章)</w:t>
      </w:r>
    </w:p>
    <w:p>
      <w:pPr>
        <w:spacing w:line="400" w:lineRule="exact"/>
        <w:ind w:firstLine="3780" w:firstLineChars="1800"/>
        <w:rPr>
          <w:rFonts w:ascii="宋体"/>
          <w:szCs w:val="21"/>
          <w:u w:val="single"/>
        </w:rPr>
      </w:pPr>
      <w:r>
        <w:rPr>
          <w:rFonts w:hint="eastAsia" w:ascii="宋体"/>
          <w:szCs w:val="21"/>
        </w:rPr>
        <w:t>委托代理人签名：</w:t>
      </w:r>
      <w:r>
        <w:rPr>
          <w:rFonts w:hint="eastAsia" w:ascii="宋体"/>
          <w:szCs w:val="21"/>
          <w:u w:val="single"/>
        </w:rPr>
        <w:t xml:space="preserve">             </w:t>
      </w:r>
    </w:p>
    <w:p>
      <w:pPr>
        <w:spacing w:line="480" w:lineRule="exact"/>
        <w:ind w:firstLine="3780" w:firstLineChars="1800"/>
        <w:rPr>
          <w:rFonts w:ascii="宋体"/>
          <w:b/>
          <w:bCs/>
          <w:szCs w:val="21"/>
        </w:rPr>
      </w:pPr>
      <w:r>
        <w:rPr>
          <w:rFonts w:hint="eastAsia" w:ascii="宋体"/>
          <w:szCs w:val="21"/>
        </w:rPr>
        <w:t>日期：         年    月    日</w:t>
      </w:r>
    </w:p>
    <w:p>
      <w:pPr>
        <w:spacing w:line="480" w:lineRule="exact"/>
        <w:rPr>
          <w:rFonts w:ascii="宋体"/>
          <w:b/>
          <w:bCs/>
          <w:szCs w:val="21"/>
        </w:rPr>
      </w:pPr>
    </w:p>
    <w:p>
      <w:pPr>
        <w:spacing w:line="360" w:lineRule="auto"/>
        <w:rPr>
          <w:rFonts w:ascii="宋体" w:hAnsi="宋体"/>
          <w:szCs w:val="21"/>
        </w:rPr>
      </w:pPr>
      <w:r>
        <w:rPr>
          <w:rFonts w:hint="eastAsia" w:ascii="宋体"/>
          <w:b/>
          <w:bCs/>
          <w:szCs w:val="21"/>
        </w:rPr>
        <w:t>注：</w:t>
      </w:r>
      <w:r>
        <w:rPr>
          <w:rFonts w:hint="eastAsia" w:ascii="宋体"/>
          <w:szCs w:val="21"/>
        </w:rPr>
        <w:t>所列项目应提供相应的中标通知书或合同（</w:t>
      </w:r>
      <w:r>
        <w:rPr>
          <w:rFonts w:hint="eastAsia" w:ascii="宋体"/>
          <w:b/>
          <w:szCs w:val="21"/>
        </w:rPr>
        <w:t>原件</w:t>
      </w:r>
      <w:r>
        <w:rPr>
          <w:rFonts w:hint="eastAsia" w:ascii="宋体"/>
          <w:szCs w:val="21"/>
        </w:rPr>
        <w:t>），否则视同未提供。</w:t>
      </w:r>
    </w:p>
    <w:p>
      <w:pPr>
        <w:spacing w:line="360" w:lineRule="auto"/>
        <w:rPr>
          <w:rFonts w:ascii="宋体" w:hAnsi="宋体"/>
          <w:szCs w:val="21"/>
        </w:rPr>
      </w:pPr>
    </w:p>
    <w:p>
      <w:pPr>
        <w:spacing w:line="360" w:lineRule="auto"/>
        <w:rPr>
          <w:rFonts w:ascii="宋体" w:hAnsi="宋体"/>
          <w:szCs w:val="21"/>
        </w:rPr>
      </w:pPr>
    </w:p>
    <w:p>
      <w:pPr>
        <w:rPr>
          <w:rFonts w:ascii="黑体" w:hAnsi="宋体" w:eastAsia="黑体"/>
          <w:b/>
          <w:sz w:val="28"/>
          <w:szCs w:val="28"/>
        </w:rPr>
      </w:pPr>
    </w:p>
    <w:p>
      <w:pPr>
        <w:pStyle w:val="4"/>
        <w:rPr>
          <w:rFonts w:ascii="黑体" w:hAnsi="黑体" w:eastAsia="黑体" w:cs="仿宋"/>
          <w:sz w:val="28"/>
          <w:szCs w:val="21"/>
        </w:rPr>
      </w:pPr>
      <w:bookmarkStart w:id="362" w:name="_Toc536603271"/>
      <w:bookmarkStart w:id="363" w:name="_Toc12437_WPSOffice_Level2"/>
      <w:r>
        <w:rPr>
          <w:rFonts w:hint="eastAsia" w:ascii="黑体" w:hAnsi="黑体" w:eastAsia="黑体" w:cs="仿宋"/>
          <w:sz w:val="28"/>
          <w:szCs w:val="21"/>
        </w:rPr>
        <w:t>十二、投标服务符合招标文件规定的证明文件</w:t>
      </w:r>
      <w:bookmarkEnd w:id="362"/>
      <w:bookmarkEnd w:id="363"/>
    </w:p>
    <w:p>
      <w:pPr>
        <w:rPr>
          <w:rFonts w:ascii="宋体" w:hAnsi="宋体"/>
          <w:b/>
          <w:sz w:val="24"/>
        </w:rPr>
      </w:pPr>
    </w:p>
    <w:p>
      <w:pPr>
        <w:pStyle w:val="22"/>
        <w:spacing w:line="400" w:lineRule="atLeast"/>
        <w:jc w:val="left"/>
        <w:rPr>
          <w:rFonts w:hAnsi="宋体"/>
          <w:b/>
          <w:bCs/>
          <w:sz w:val="84"/>
          <w:szCs w:val="84"/>
        </w:rPr>
      </w:pPr>
      <w:r>
        <w:rPr>
          <w:rFonts w:hint="eastAsia" w:ascii="仿宋" w:hAnsi="仿宋" w:eastAsia="仿宋"/>
          <w:b/>
          <w:sz w:val="24"/>
        </w:rPr>
        <w:t>备注：</w:t>
      </w:r>
      <w:r>
        <w:rPr>
          <w:rFonts w:hint="eastAsia" w:ascii="仿宋" w:hAnsi="仿宋" w:eastAsia="仿宋"/>
          <w:sz w:val="24"/>
        </w:rPr>
        <w:t xml:space="preserve">提供第六章“招标文件前附表”和第八章“采购需求”规定的证明材料复印件。 </w:t>
      </w:r>
      <w:r>
        <w:rPr>
          <w:rFonts w:hint="eastAsia" w:hAnsi="宋体"/>
        </w:rPr>
        <w:br w:type="page"/>
      </w:r>
      <w:bookmarkEnd w:id="354"/>
      <w:bookmarkStart w:id="364" w:name="_Toc418504677"/>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p>
    <w:p>
      <w:pPr>
        <w:pStyle w:val="22"/>
        <w:spacing w:line="400" w:lineRule="atLeast"/>
        <w:jc w:val="center"/>
        <w:rPr>
          <w:rFonts w:hAnsi="宋体"/>
          <w:b/>
          <w:bCs/>
          <w:sz w:val="84"/>
          <w:szCs w:val="84"/>
        </w:rPr>
      </w:pPr>
      <w:bookmarkStart w:id="365" w:name="_Toc11282_WPSOffice_Level1"/>
      <w:bookmarkStart w:id="366" w:name="_Toc4015_WPSOffice_Level1"/>
      <w:bookmarkStart w:id="367" w:name="_Toc28322_WPSOffice_Level1"/>
      <w:r>
        <w:rPr>
          <w:rFonts w:hint="eastAsia" w:hAnsi="宋体"/>
          <w:b/>
          <w:bCs/>
          <w:sz w:val="84"/>
          <w:szCs w:val="84"/>
        </w:rPr>
        <w:t>政府采购</w:t>
      </w:r>
      <w:bookmarkEnd w:id="365"/>
      <w:bookmarkEnd w:id="366"/>
      <w:bookmarkEnd w:id="367"/>
    </w:p>
    <w:p>
      <w:pPr>
        <w:pStyle w:val="22"/>
        <w:spacing w:line="400" w:lineRule="atLeast"/>
        <w:jc w:val="center"/>
        <w:outlineLvl w:val="0"/>
        <w:rPr>
          <w:rFonts w:hAnsi="宋体"/>
          <w:b/>
          <w:bCs/>
          <w:sz w:val="84"/>
          <w:szCs w:val="84"/>
        </w:rPr>
      </w:pPr>
      <w:bookmarkStart w:id="368" w:name="_Toc7534_WPSOffice_Level1"/>
      <w:bookmarkStart w:id="369" w:name="_Toc854_WPSOffice_Level1"/>
      <w:bookmarkStart w:id="370" w:name="_Toc5578_WPSOffice_Level1"/>
      <w:bookmarkStart w:id="371" w:name="_Toc536603272"/>
      <w:r>
        <w:rPr>
          <w:rFonts w:hint="eastAsia" w:hAnsi="宋体"/>
          <w:b/>
          <w:bCs/>
          <w:sz w:val="84"/>
          <w:szCs w:val="84"/>
        </w:rPr>
        <w:t>招 标 文 件</w:t>
      </w:r>
      <w:bookmarkEnd w:id="368"/>
      <w:bookmarkEnd w:id="369"/>
      <w:bookmarkEnd w:id="370"/>
      <w:bookmarkEnd w:id="371"/>
    </w:p>
    <w:p>
      <w:pPr>
        <w:adjustRightInd w:val="0"/>
        <w:snapToGrid w:val="0"/>
        <w:spacing w:line="360" w:lineRule="auto"/>
        <w:outlineLvl w:val="0"/>
        <w:rPr>
          <w:rFonts w:ascii="宋体" w:hAnsi="宋体"/>
          <w:b/>
          <w:sz w:val="44"/>
          <w:szCs w:val="44"/>
        </w:rPr>
      </w:pPr>
    </w:p>
    <w:p>
      <w:pPr>
        <w:adjustRightInd w:val="0"/>
        <w:snapToGrid w:val="0"/>
        <w:spacing w:beforeLines="50" w:line="360" w:lineRule="auto"/>
        <w:jc w:val="center"/>
        <w:outlineLvl w:val="0"/>
        <w:rPr>
          <w:rFonts w:ascii="宋体" w:hAnsi="宋体"/>
          <w:b/>
          <w:sz w:val="32"/>
          <w:szCs w:val="32"/>
        </w:rPr>
      </w:pPr>
      <w:bookmarkStart w:id="372" w:name="_Toc21150_WPSOffice_Level2"/>
      <w:bookmarkStart w:id="373" w:name="_Toc530044702"/>
      <w:bookmarkStart w:id="374" w:name="_Toc530045495"/>
      <w:bookmarkStart w:id="375" w:name="_Toc536603273"/>
      <w:r>
        <w:rPr>
          <w:rFonts w:hint="eastAsia" w:ascii="宋体" w:hAnsi="宋体"/>
          <w:b/>
          <w:sz w:val="32"/>
          <w:szCs w:val="32"/>
        </w:rPr>
        <w:t>(第二部分)</w:t>
      </w:r>
      <w:bookmarkEnd w:id="372"/>
      <w:bookmarkEnd w:id="373"/>
      <w:bookmarkEnd w:id="374"/>
      <w:bookmarkEnd w:id="375"/>
    </w:p>
    <w:p>
      <w:pPr>
        <w:rPr>
          <w:rFonts w:ascii="黑体" w:hAnsi="宋体" w:eastAsia="黑体"/>
          <w:sz w:val="32"/>
          <w:szCs w:val="32"/>
        </w:rPr>
      </w:pPr>
      <w:r>
        <w:rPr>
          <w:rFonts w:hint="eastAsia" w:ascii="黑体" w:hAnsi="宋体" w:eastAsia="黑体"/>
          <w:sz w:val="32"/>
          <w:szCs w:val="32"/>
        </w:rPr>
        <w:t xml:space="preserve">         </w:t>
      </w:r>
    </w:p>
    <w:p>
      <w:pPr>
        <w:rPr>
          <w:rFonts w:ascii="黑体" w:hAnsi="宋体" w:eastAsia="黑体"/>
          <w:sz w:val="32"/>
          <w:szCs w:val="32"/>
        </w:rPr>
      </w:pPr>
      <w:r>
        <w:rPr>
          <w:rFonts w:hint="eastAsia" w:ascii="黑体" w:hAnsi="宋体" w:eastAsia="黑体"/>
          <w:sz w:val="32"/>
          <w:szCs w:val="32"/>
        </w:rPr>
        <w:t xml:space="preserve">  </w:t>
      </w:r>
    </w:p>
    <w:p>
      <w:pPr>
        <w:pStyle w:val="22"/>
        <w:spacing w:beforeLines="100" w:afterLines="100" w:line="360" w:lineRule="auto"/>
        <w:rPr>
          <w:rFonts w:hAnsi="宋体"/>
          <w:b/>
          <w:bCs/>
          <w:sz w:val="30"/>
          <w:szCs w:val="30"/>
        </w:rPr>
      </w:pPr>
      <w:bookmarkStart w:id="376" w:name="_Toc14597_WPSOffice_Level3"/>
      <w:bookmarkStart w:id="377" w:name="_Toc20343_WPSOffice_Level3"/>
      <w:bookmarkStart w:id="378" w:name="_Toc31636_WPSOffice_Level3"/>
      <w:r>
        <w:rPr>
          <w:rFonts w:hint="eastAsia" w:hAnsi="宋体"/>
          <w:b/>
          <w:bCs/>
          <w:sz w:val="30"/>
          <w:szCs w:val="30"/>
        </w:rPr>
        <w:t>采购项目名称:</w:t>
      </w:r>
      <w:bookmarkEnd w:id="376"/>
      <w:r>
        <w:rPr>
          <w:rFonts w:hint="eastAsia" w:hAnsi="宋体"/>
          <w:b/>
          <w:bCs/>
          <w:sz w:val="30"/>
          <w:szCs w:val="30"/>
        </w:rPr>
        <w:t xml:space="preserve"> </w:t>
      </w:r>
      <w:bookmarkEnd w:id="377"/>
      <w:bookmarkEnd w:id="378"/>
      <w:bookmarkStart w:id="379" w:name="_Toc7428_WPSOffice_Level3"/>
    </w:p>
    <w:p>
      <w:pPr>
        <w:pStyle w:val="22"/>
        <w:spacing w:beforeLines="100" w:afterLines="100" w:line="360" w:lineRule="auto"/>
        <w:rPr>
          <w:rFonts w:hAnsi="宋体"/>
          <w:b/>
          <w:bCs/>
          <w:sz w:val="30"/>
          <w:szCs w:val="30"/>
        </w:rPr>
      </w:pPr>
      <w:bookmarkStart w:id="380" w:name="_Toc21467_WPSOffice_Level3"/>
      <w:r>
        <w:rPr>
          <w:rFonts w:hint="eastAsia" w:hAnsi="宋体"/>
          <w:b/>
          <w:bCs/>
          <w:sz w:val="30"/>
          <w:szCs w:val="30"/>
        </w:rPr>
        <w:t>政府采购编号:</w:t>
      </w:r>
      <w:bookmarkEnd w:id="380"/>
      <w:r>
        <w:rPr>
          <w:rFonts w:hint="eastAsia" w:hAnsi="宋体"/>
          <w:b/>
          <w:bCs/>
          <w:sz w:val="30"/>
          <w:szCs w:val="30"/>
        </w:rPr>
        <w:t xml:space="preserve"> </w:t>
      </w:r>
      <w:bookmarkEnd w:id="379"/>
    </w:p>
    <w:p>
      <w:pPr>
        <w:pStyle w:val="22"/>
        <w:spacing w:beforeLines="100" w:afterLines="100" w:line="360" w:lineRule="auto"/>
        <w:jc w:val="left"/>
        <w:rPr>
          <w:rFonts w:hAnsi="宋体"/>
          <w:bCs/>
          <w:sz w:val="30"/>
          <w:szCs w:val="30"/>
        </w:rPr>
      </w:pPr>
      <w:bookmarkStart w:id="381" w:name="_Toc14696_WPSOffice_Level3"/>
      <w:bookmarkStart w:id="382" w:name="_Toc29643_WPSOffice_Level3"/>
      <w:r>
        <w:rPr>
          <w:rFonts w:hint="eastAsia" w:hAnsi="宋体"/>
          <w:b/>
          <w:bCs/>
          <w:sz w:val="30"/>
          <w:szCs w:val="30"/>
        </w:rPr>
        <w:t>委托代理编号:</w:t>
      </w:r>
      <w:bookmarkEnd w:id="381"/>
      <w:r>
        <w:rPr>
          <w:rFonts w:hint="eastAsia" w:hAnsi="宋体"/>
          <w:b/>
          <w:bCs/>
          <w:sz w:val="30"/>
          <w:szCs w:val="30"/>
        </w:rPr>
        <w:t xml:space="preserve"> </w:t>
      </w:r>
      <w:bookmarkEnd w:id="382"/>
    </w:p>
    <w:p>
      <w:pPr>
        <w:adjustRightInd w:val="0"/>
        <w:snapToGrid w:val="0"/>
        <w:ind w:firstLine="1124" w:firstLineChars="350"/>
        <w:rPr>
          <w:rFonts w:ascii="宋体" w:hAnsi="宋体"/>
          <w:b/>
          <w:sz w:val="32"/>
        </w:rPr>
      </w:pPr>
    </w:p>
    <w:p>
      <w:pPr>
        <w:adjustRightInd w:val="0"/>
        <w:snapToGrid w:val="0"/>
        <w:ind w:firstLine="1124" w:firstLineChars="350"/>
        <w:rPr>
          <w:rFonts w:ascii="宋体" w:hAnsi="宋体"/>
          <w:b/>
          <w:sz w:val="32"/>
        </w:rPr>
      </w:pPr>
    </w:p>
    <w:p>
      <w:pPr>
        <w:pStyle w:val="22"/>
        <w:rPr>
          <w:rFonts w:hAnsi="宋体"/>
          <w:b/>
          <w:sz w:val="32"/>
          <w:szCs w:val="24"/>
        </w:rPr>
      </w:pPr>
      <w:r>
        <w:rPr>
          <w:rFonts w:hint="eastAsia" w:hAnsi="宋体"/>
          <w:b/>
          <w:sz w:val="32"/>
          <w:szCs w:val="24"/>
        </w:rPr>
        <w:t xml:space="preserve">       </w:t>
      </w:r>
    </w:p>
    <w:p>
      <w:pPr>
        <w:pStyle w:val="22"/>
        <w:ind w:firstLine="3213" w:firstLineChars="1000"/>
        <w:rPr>
          <w:rFonts w:hAnsi="宋体"/>
          <w:b/>
          <w:sz w:val="32"/>
          <w:szCs w:val="24"/>
        </w:rPr>
      </w:pPr>
      <w:r>
        <w:rPr>
          <w:rFonts w:hint="eastAsia" w:hAnsi="宋体"/>
          <w:b/>
          <w:sz w:val="32"/>
          <w:szCs w:val="24"/>
        </w:rPr>
        <w:t xml:space="preserve">   </w:t>
      </w:r>
      <w:bookmarkStart w:id="383" w:name="_Toc31778_WPSOffice_Level2"/>
      <w:bookmarkStart w:id="384" w:name="_Toc15487_WPSOffice_Level2"/>
      <w:bookmarkStart w:id="385" w:name="_Toc17918_WPSOffice_Level2"/>
      <w:r>
        <w:rPr>
          <w:rFonts w:hint="eastAsia" w:hAnsi="宋体"/>
          <w:b/>
          <w:sz w:val="32"/>
          <w:szCs w:val="24"/>
        </w:rPr>
        <w:t>年   月   日</w:t>
      </w:r>
      <w:bookmarkEnd w:id="383"/>
      <w:bookmarkEnd w:id="384"/>
      <w:bookmarkEnd w:id="385"/>
    </w:p>
    <w:p>
      <w:pPr>
        <w:pStyle w:val="22"/>
        <w:ind w:firstLine="3213" w:firstLineChars="1000"/>
        <w:rPr>
          <w:rFonts w:ascii="黑体" w:hAnsi="华文中宋" w:eastAsia="黑体"/>
          <w:b/>
          <w:sz w:val="32"/>
          <w:szCs w:val="32"/>
        </w:rPr>
      </w:pPr>
    </w:p>
    <w:p>
      <w:pPr>
        <w:pStyle w:val="22"/>
        <w:adjustRightInd w:val="0"/>
        <w:snapToGrid w:val="0"/>
        <w:spacing w:beforeLines="50" w:line="360" w:lineRule="auto"/>
        <w:jc w:val="center"/>
        <w:outlineLvl w:val="1"/>
        <w:rPr>
          <w:rFonts w:ascii="黑体" w:hAnsi="华文中宋" w:eastAsia="黑体"/>
          <w:b/>
          <w:sz w:val="32"/>
          <w:szCs w:val="32"/>
        </w:rPr>
      </w:pPr>
      <w:bookmarkStart w:id="386" w:name="_Toc2615_WPSOffice_Level1"/>
      <w:bookmarkStart w:id="387" w:name="_Toc536603274"/>
      <w:r>
        <w:rPr>
          <w:rFonts w:hint="eastAsia" w:ascii="黑体" w:hAnsi="华文中宋" w:eastAsia="黑体"/>
          <w:b/>
          <w:sz w:val="32"/>
          <w:szCs w:val="32"/>
        </w:rPr>
        <w:t>第六章  招标文件前附表</w:t>
      </w:r>
      <w:bookmarkEnd w:id="364"/>
      <w:bookmarkEnd w:id="386"/>
      <w:bookmarkEnd w:id="387"/>
    </w:p>
    <w:tbl>
      <w:tblPr>
        <w:tblStyle w:val="40"/>
        <w:tblW w:w="933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47"/>
        <w:gridCol w:w="2278"/>
        <w:gridCol w:w="21"/>
        <w:gridCol w:w="2556"/>
        <w:gridCol w:w="233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61" w:hRule="atLeast"/>
          <w:tblHeader/>
        </w:trPr>
        <w:tc>
          <w:tcPr>
            <w:tcW w:w="2147" w:type="dxa"/>
            <w:vAlign w:val="center"/>
          </w:tcPr>
          <w:p>
            <w:pPr>
              <w:adjustRightInd w:val="0"/>
              <w:snapToGrid w:val="0"/>
              <w:spacing w:beforeLines="50" w:line="300" w:lineRule="auto"/>
              <w:jc w:val="center"/>
              <w:rPr>
                <w:rFonts w:ascii="宋体" w:hAnsi="宋体" w:cs="宋体"/>
                <w:b/>
                <w:szCs w:val="21"/>
              </w:rPr>
            </w:pPr>
            <w:r>
              <w:rPr>
                <w:rFonts w:hint="eastAsia" w:ascii="宋体" w:hAnsi="宋体" w:cs="宋体"/>
                <w:b/>
                <w:szCs w:val="21"/>
              </w:rPr>
              <w:t>条款号</w:t>
            </w:r>
          </w:p>
        </w:tc>
        <w:tc>
          <w:tcPr>
            <w:tcW w:w="2299" w:type="dxa"/>
            <w:gridSpan w:val="2"/>
            <w:vAlign w:val="center"/>
          </w:tcPr>
          <w:p>
            <w:pPr>
              <w:adjustRightInd w:val="0"/>
              <w:snapToGrid w:val="0"/>
              <w:spacing w:beforeLines="50" w:line="300" w:lineRule="auto"/>
              <w:jc w:val="center"/>
              <w:rPr>
                <w:rFonts w:ascii="宋体" w:hAnsi="宋体" w:cs="宋体"/>
                <w:b/>
                <w:szCs w:val="21"/>
              </w:rPr>
            </w:pPr>
            <w:r>
              <w:rPr>
                <w:rFonts w:hint="eastAsia" w:ascii="宋体" w:hAnsi="宋体" w:cs="宋体"/>
                <w:b/>
                <w:szCs w:val="21"/>
              </w:rPr>
              <w:t>条款名称</w:t>
            </w:r>
          </w:p>
        </w:tc>
        <w:tc>
          <w:tcPr>
            <w:tcW w:w="4893" w:type="dxa"/>
            <w:gridSpan w:val="2"/>
            <w:vAlign w:val="center"/>
          </w:tcPr>
          <w:p>
            <w:pPr>
              <w:adjustRightInd w:val="0"/>
              <w:snapToGrid w:val="0"/>
              <w:spacing w:beforeLines="50" w:line="300" w:lineRule="auto"/>
              <w:jc w:val="center"/>
              <w:rPr>
                <w:rFonts w:ascii="宋体" w:hAnsi="宋体" w:cs="宋体"/>
                <w:b/>
                <w:szCs w:val="21"/>
              </w:rPr>
            </w:pPr>
            <w:r>
              <w:rPr>
                <w:rFonts w:hint="eastAsia" w:ascii="宋体" w:hAnsi="宋体" w:cs="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pStyle w:val="4"/>
              <w:jc w:val="center"/>
              <w:rPr>
                <w:rFonts w:ascii="宋体" w:hAnsi="宋体" w:cs="宋体"/>
                <w:sz w:val="28"/>
                <w:szCs w:val="28"/>
              </w:rPr>
            </w:pPr>
            <w:bookmarkStart w:id="388" w:name="_Toc536603275"/>
            <w:r>
              <w:rPr>
                <w:rFonts w:hint="eastAsia" w:ascii="宋体" w:hAnsi="宋体" w:cs="宋体"/>
                <w:sz w:val="28"/>
                <w:szCs w:val="28"/>
              </w:rPr>
              <w:t>第一章 投标须知（前附表）</w:t>
            </w:r>
            <w:bookmarkEnd w:id="388"/>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szCs w:val="21"/>
              </w:rPr>
            </w:pPr>
            <w:r>
              <w:rPr>
                <w:rFonts w:hint="eastAsia" w:ascii="宋体" w:hAnsi="宋体" w:cs="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采购项目</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平江县贫困地区村文化活动室设备购置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采购人</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名称：平江县文化旅游广电体育局</w:t>
            </w:r>
          </w:p>
          <w:p>
            <w:pPr>
              <w:adjustRightInd w:val="0"/>
              <w:snapToGrid w:val="0"/>
              <w:spacing w:beforeLines="50" w:line="360" w:lineRule="auto"/>
              <w:rPr>
                <w:rFonts w:ascii="宋体" w:hAnsi="宋体" w:cs="宋体"/>
                <w:szCs w:val="21"/>
              </w:rPr>
            </w:pPr>
            <w:r>
              <w:rPr>
                <w:rFonts w:hint="eastAsia" w:ascii="宋体" w:hAnsi="宋体" w:cs="宋体"/>
                <w:szCs w:val="21"/>
              </w:rPr>
              <w:t>地址：平江县文化旅游广电体育局</w:t>
            </w:r>
          </w:p>
          <w:p>
            <w:pPr>
              <w:adjustRightInd w:val="0"/>
              <w:snapToGrid w:val="0"/>
              <w:spacing w:beforeLines="50" w:line="360" w:lineRule="auto"/>
              <w:rPr>
                <w:rFonts w:ascii="宋体" w:hAnsi="宋体" w:cs="宋体"/>
                <w:szCs w:val="21"/>
              </w:rPr>
            </w:pPr>
            <w:r>
              <w:rPr>
                <w:rFonts w:hint="eastAsia" w:ascii="宋体" w:hAnsi="宋体" w:cs="宋体"/>
                <w:szCs w:val="21"/>
              </w:rPr>
              <w:t>电话：13762047888</w:t>
            </w:r>
          </w:p>
          <w:p>
            <w:pPr>
              <w:adjustRightInd w:val="0"/>
              <w:snapToGrid w:val="0"/>
              <w:spacing w:beforeLines="50" w:line="360" w:lineRule="auto"/>
              <w:rPr>
                <w:rFonts w:ascii="宋体" w:hAnsi="宋体" w:cs="宋体"/>
                <w:szCs w:val="21"/>
              </w:rPr>
            </w:pPr>
            <w:r>
              <w:rPr>
                <w:rFonts w:hint="eastAsia" w:ascii="宋体" w:hAnsi="宋体" w:cs="宋体"/>
                <w:szCs w:val="21"/>
              </w:rPr>
              <w:t>联系人：吴先生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40"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采购代理机构</w:t>
            </w:r>
          </w:p>
        </w:tc>
        <w:tc>
          <w:tcPr>
            <w:tcW w:w="4893" w:type="dxa"/>
            <w:gridSpan w:val="2"/>
            <w:vAlign w:val="center"/>
          </w:tcPr>
          <w:p>
            <w:pPr>
              <w:adjustRightInd w:val="0"/>
              <w:snapToGrid w:val="0"/>
              <w:spacing w:beforeLines="50" w:line="360" w:lineRule="auto"/>
              <w:rPr>
                <w:rFonts w:ascii="宋体" w:hAnsi="宋体"/>
                <w:szCs w:val="21"/>
              </w:rPr>
            </w:pPr>
            <w:r>
              <w:rPr>
                <w:rFonts w:hint="eastAsia" w:ascii="宋体" w:hAnsi="宋体"/>
                <w:szCs w:val="21"/>
              </w:rPr>
              <w:t>名称：湖南省湘咨工程咨询有限责任公司</w:t>
            </w:r>
          </w:p>
          <w:p>
            <w:pPr>
              <w:adjustRightInd w:val="0"/>
              <w:snapToGrid w:val="0"/>
              <w:spacing w:beforeLines="50" w:line="360" w:lineRule="auto"/>
              <w:rPr>
                <w:rFonts w:ascii="宋体" w:hAnsi="宋体"/>
                <w:szCs w:val="21"/>
              </w:rPr>
            </w:pPr>
            <w:r>
              <w:rPr>
                <w:rFonts w:hint="eastAsia" w:ascii="宋体" w:hAnsi="宋体"/>
                <w:szCs w:val="21"/>
              </w:rPr>
              <w:t>地址：岳阳市建湘路古井社区综合办公楼三楼</w:t>
            </w:r>
          </w:p>
          <w:p>
            <w:pPr>
              <w:adjustRightInd w:val="0"/>
              <w:snapToGrid w:val="0"/>
              <w:spacing w:beforeLines="50" w:line="360" w:lineRule="auto"/>
              <w:rPr>
                <w:rFonts w:ascii="宋体" w:hAnsi="宋体"/>
                <w:szCs w:val="21"/>
              </w:rPr>
            </w:pPr>
            <w:r>
              <w:rPr>
                <w:rFonts w:hint="eastAsia" w:ascii="宋体" w:hAnsi="宋体"/>
                <w:szCs w:val="21"/>
              </w:rPr>
              <w:t>电话：0730-8213558   18390003331</w:t>
            </w:r>
          </w:p>
          <w:p>
            <w:pPr>
              <w:adjustRightInd w:val="0"/>
              <w:snapToGrid w:val="0"/>
              <w:spacing w:beforeLines="50" w:line="360" w:lineRule="auto"/>
              <w:rPr>
                <w:rFonts w:ascii="宋体" w:hAnsi="宋体" w:cs="宋体"/>
                <w:szCs w:val="21"/>
              </w:rPr>
            </w:pPr>
            <w:r>
              <w:rPr>
                <w:rFonts w:hint="eastAsia" w:ascii="宋体" w:hAnsi="宋体"/>
                <w:szCs w:val="21"/>
              </w:rPr>
              <w:t>联系人：易女士</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70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第一章第3.1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bCs/>
                <w:szCs w:val="21"/>
              </w:rPr>
              <w:t>投标人</w:t>
            </w:r>
            <w:r>
              <w:rPr>
                <w:rFonts w:hint="eastAsia" w:ascii="宋体" w:hAnsi="宋体" w:cs="宋体"/>
                <w:szCs w:val="21"/>
              </w:rPr>
              <w:t>资格条件</w:t>
            </w:r>
          </w:p>
        </w:tc>
        <w:tc>
          <w:tcPr>
            <w:tcW w:w="4893" w:type="dxa"/>
            <w:gridSpan w:val="2"/>
            <w:vAlign w:val="center"/>
          </w:tcPr>
          <w:p>
            <w:pPr>
              <w:adjustRightInd w:val="0"/>
              <w:snapToGrid w:val="0"/>
              <w:spacing w:beforeLines="50"/>
              <w:jc w:val="left"/>
              <w:rPr>
                <w:rFonts w:ascii="宋体" w:hAnsi="宋体" w:cs="仿宋"/>
                <w:b/>
                <w:bCs/>
                <w:szCs w:val="21"/>
              </w:rPr>
            </w:pPr>
            <w:r>
              <w:rPr>
                <w:rFonts w:hint="eastAsia" w:ascii="宋体" w:hAnsi="宋体" w:cs="仿宋"/>
                <w:b/>
                <w:bCs/>
                <w:szCs w:val="21"/>
              </w:rPr>
              <w:t>1、基本资格条件：</w:t>
            </w:r>
          </w:p>
          <w:p>
            <w:pPr>
              <w:adjustRightInd w:val="0"/>
              <w:snapToGrid w:val="0"/>
              <w:spacing w:line="340" w:lineRule="exact"/>
              <w:rPr>
                <w:rFonts w:ascii="宋体" w:hAnsi="宋体"/>
                <w:szCs w:val="21"/>
              </w:rPr>
            </w:pPr>
            <w:r>
              <w:rPr>
                <w:rFonts w:hint="eastAsia" w:ascii="宋体" w:hAnsi="宋体"/>
                <w:szCs w:val="21"/>
              </w:rPr>
              <w:t>投标人需具备</w:t>
            </w:r>
            <w:r>
              <w:rPr>
                <w:rFonts w:hint="eastAsia" w:ascii="宋体" w:hAnsi="宋体"/>
                <w:b/>
                <w:bCs/>
                <w:szCs w:val="21"/>
              </w:rPr>
              <w:t>《中华人民共和国政府采购法》第二十二条规定</w:t>
            </w:r>
            <w:r>
              <w:rPr>
                <w:rFonts w:hint="eastAsia" w:ascii="宋体" w:hAnsi="宋体"/>
                <w:szCs w:val="21"/>
              </w:rPr>
              <w:t>的基本资格条件且为非失信被执行人，并提供以下资格证明文件：</w:t>
            </w:r>
          </w:p>
          <w:p>
            <w:pPr>
              <w:widowControl/>
              <w:spacing w:line="360" w:lineRule="auto"/>
              <w:jc w:val="left"/>
              <w:rPr>
                <w:rFonts w:ascii="宋体" w:hAnsi="宋体" w:cs="宋体"/>
              </w:rPr>
            </w:pPr>
            <w:r>
              <w:rPr>
                <w:rFonts w:hint="eastAsia" w:ascii="宋体" w:hAnsi="宋体" w:cs="宋体"/>
              </w:rPr>
              <w:t>（1）法人或委托代理人提交企业法人营业执照副本(或者法人登记证书)原件；</w:t>
            </w:r>
          </w:p>
          <w:p>
            <w:pPr>
              <w:widowControl/>
              <w:spacing w:line="360" w:lineRule="auto"/>
              <w:jc w:val="left"/>
              <w:rPr>
                <w:rFonts w:ascii="宋体" w:hAnsi="宋体" w:cs="宋体"/>
              </w:rPr>
            </w:pPr>
            <w:r>
              <w:rPr>
                <w:rFonts w:hint="eastAsia" w:ascii="宋体" w:hAnsi="宋体" w:cs="宋体"/>
              </w:rPr>
              <w:t>（2）法人提交法定代表人身份证明和法人身份证原件或者授权委托人提交法定代表人授权委托书原件并附法定代表人身份证明原件，授权委托人还应当提交身份证原件；</w:t>
            </w:r>
          </w:p>
          <w:p>
            <w:pPr>
              <w:widowControl/>
              <w:spacing w:line="360" w:lineRule="auto"/>
              <w:jc w:val="left"/>
              <w:rPr>
                <w:rFonts w:ascii="宋体" w:hAnsi="宋体" w:cs="宋体"/>
              </w:rPr>
            </w:pPr>
            <w:r>
              <w:rPr>
                <w:rFonts w:hint="eastAsia" w:ascii="宋体" w:hAnsi="宋体" w:cs="宋体"/>
              </w:rPr>
              <w:t>（3）供应商具有实行了“三证合一”登记制度改革的新证，视同为持有工商营业执照、组织机构代码证和税务登记证，符合基本资格条件的相关条款；</w:t>
            </w:r>
          </w:p>
          <w:p>
            <w:pPr>
              <w:widowControl/>
              <w:spacing w:line="360" w:lineRule="auto"/>
              <w:jc w:val="left"/>
              <w:rPr>
                <w:rFonts w:ascii="宋体" w:hAnsi="宋体" w:cs="宋体"/>
              </w:rPr>
            </w:pPr>
            <w:r>
              <w:rPr>
                <w:rFonts w:hint="eastAsia" w:ascii="宋体" w:hAnsi="宋体" w:cs="宋体"/>
              </w:rPr>
              <w:t>（4）依法缴纳税收和社会保险费的证明材料：《税务登记证》和《社会保险登记证》的复印件，或者近三个月依法缴纳税收和社会保险费的证明（纳税及缴费凭证复印件），或者委托他人缴纳的委托代办协议和近三个月缴纳证明（收据复印件），或者法定征收机关出具的依法免缴税费的证明原件。</w:t>
            </w:r>
          </w:p>
          <w:p>
            <w:pPr>
              <w:widowControl/>
              <w:spacing w:line="360" w:lineRule="auto"/>
              <w:jc w:val="left"/>
              <w:rPr>
                <w:rFonts w:ascii="宋体" w:hAnsi="宋体" w:cs="宋体"/>
              </w:rPr>
            </w:pPr>
            <w:r>
              <w:rPr>
                <w:rFonts w:hint="eastAsia" w:ascii="宋体" w:hAnsi="宋体" w:cs="宋体"/>
              </w:rPr>
              <w:t>（5）投标人最近一个月内在“信用中国（www.creditchina.gov.cn）”或“国家企业信用信息公示系统（www.gsxt.gov.cn)”的查询中无重大失信等被禁止投标记录，提供查询结果截图打印件并加盖公章。</w:t>
            </w:r>
          </w:p>
          <w:p>
            <w:pPr>
              <w:adjustRightInd w:val="0"/>
              <w:snapToGrid w:val="0"/>
              <w:spacing w:beforeLines="50"/>
              <w:jc w:val="left"/>
              <w:rPr>
                <w:rFonts w:ascii="宋体" w:hAnsi="宋体" w:cs="仿宋"/>
                <w:bCs/>
                <w:szCs w:val="21"/>
              </w:rPr>
            </w:pPr>
            <w:r>
              <w:rPr>
                <w:rFonts w:hint="eastAsia" w:ascii="宋体" w:hAnsi="宋体" w:cs="仿宋"/>
                <w:b/>
                <w:bCs/>
                <w:szCs w:val="21"/>
              </w:rPr>
              <w:t>2、投标人特定资格要求</w:t>
            </w:r>
            <w:r>
              <w:rPr>
                <w:rFonts w:hint="eastAsia" w:ascii="宋体" w:hAnsi="宋体" w:cs="仿宋"/>
                <w:bCs/>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第一章第6.1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仿宋" w:hAnsi="仿宋" w:eastAsia="仿宋" w:cs="宋体"/>
                <w:bCs/>
                <w:szCs w:val="21"/>
              </w:rPr>
            </w:pPr>
            <w:r>
              <w:rPr>
                <w:rFonts w:hint="eastAsia" w:ascii="宋体" w:hAnsi="宋体" w:cs="宋体"/>
                <w:szCs w:val="21"/>
              </w:rPr>
              <w:t>联合体投标</w:t>
            </w:r>
          </w:p>
        </w:tc>
        <w:tc>
          <w:tcPr>
            <w:tcW w:w="4893" w:type="dxa"/>
            <w:gridSpan w:val="2"/>
            <w:vAlign w:val="center"/>
          </w:tcPr>
          <w:p>
            <w:pPr>
              <w:adjustRightInd w:val="0"/>
              <w:snapToGrid w:val="0"/>
              <w:spacing w:beforeLines="50" w:line="276" w:lineRule="auto"/>
              <w:rPr>
                <w:rFonts w:ascii="宋体" w:hAnsi="宋体" w:cs="宋体"/>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eq \o\ac(</w:instrText>
            </w:r>
            <w:r>
              <w:rPr>
                <w:rFonts w:hint="eastAsia" w:ascii="仿宋" w:hAnsi="仿宋" w:eastAsia="仿宋" w:cs="仿宋"/>
                <w:position w:val="-2"/>
                <w:szCs w:val="21"/>
              </w:rPr>
              <w:instrText xml:space="preserve">□</w:instrText>
            </w:r>
            <w:r>
              <w:rPr>
                <w:rFonts w:hint="eastAsia" w:ascii="仿宋" w:hAnsi="仿宋" w:eastAsia="仿宋" w:cs="仿宋"/>
                <w:szCs w:val="21"/>
              </w:rPr>
              <w:instrText xml:space="preserve">,√)</w:instrText>
            </w:r>
            <w:r>
              <w:rPr>
                <w:rFonts w:hint="eastAsia" w:ascii="仿宋" w:hAnsi="仿宋" w:eastAsia="仿宋" w:cs="仿宋"/>
                <w:szCs w:val="21"/>
              </w:rPr>
              <w:fldChar w:fldCharType="end"/>
            </w:r>
            <w:r>
              <w:rPr>
                <w:rFonts w:hint="eastAsia" w:ascii="宋体" w:hAnsi="宋体" w:cs="宋体"/>
                <w:szCs w:val="21"/>
              </w:rPr>
              <w:t xml:space="preserve"> 不接受</w:t>
            </w:r>
          </w:p>
          <w:p>
            <w:pPr>
              <w:adjustRightInd w:val="0"/>
              <w:snapToGrid w:val="0"/>
              <w:spacing w:beforeLines="50" w:line="276" w:lineRule="auto"/>
              <w:rPr>
                <w:rFonts w:ascii="宋体" w:hAnsi="宋体" w:cs="宋体"/>
                <w:bCs/>
                <w:szCs w:val="21"/>
              </w:rPr>
            </w:pPr>
            <w:r>
              <w:rPr>
                <w:rFonts w:hint="eastAsia" w:ascii="宋体" w:hAnsi="宋体" w:cs="宋体"/>
                <w:szCs w:val="21"/>
              </w:rPr>
              <w:t>□ 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5" w:hRule="atLeast"/>
        </w:trPr>
        <w:tc>
          <w:tcPr>
            <w:tcW w:w="2147"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第一章第7.1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采购进口产品</w:t>
            </w:r>
          </w:p>
        </w:tc>
        <w:tc>
          <w:tcPr>
            <w:tcW w:w="4893" w:type="dxa"/>
            <w:gridSpan w:val="2"/>
            <w:vAlign w:val="center"/>
          </w:tcPr>
          <w:p>
            <w:pPr>
              <w:adjustRightInd w:val="0"/>
              <w:snapToGrid w:val="0"/>
              <w:spacing w:beforeLines="50" w:line="360" w:lineRule="auto"/>
              <w:rPr>
                <w:rFonts w:ascii="宋体" w:hAnsi="宋体" w:cs="宋体"/>
              </w:rPr>
            </w:pPr>
            <w:r>
              <w:rPr>
                <w:rFonts w:hint="eastAsia" w:ascii="宋体" w:hAnsi="宋体" w:cs="宋体"/>
              </w:rPr>
              <w:fldChar w:fldCharType="begin"/>
            </w:r>
            <w:r>
              <w:rPr>
                <w:rFonts w:hint="eastAsia" w:ascii="宋体" w:hAnsi="宋体" w:cs="宋体"/>
              </w:rPr>
              <w:instrText xml:space="preserve"> eq \o\ac(□,√)</w:instrText>
            </w:r>
            <w:r>
              <w:rPr>
                <w:rFonts w:hint="eastAsia" w:ascii="宋体" w:hAnsi="宋体" w:cs="宋体"/>
              </w:rPr>
              <w:fldChar w:fldCharType="end"/>
            </w:r>
            <w:r>
              <w:rPr>
                <w:rFonts w:hint="eastAsia" w:ascii="宋体" w:hAnsi="宋体" w:cs="宋体"/>
              </w:rPr>
              <w:t xml:space="preserve">本采购项目拒绝进口产品参加投标 </w:t>
            </w:r>
          </w:p>
          <w:p>
            <w:pPr>
              <w:adjustRightInd w:val="0"/>
              <w:snapToGrid w:val="0"/>
              <w:spacing w:beforeLines="50" w:line="360" w:lineRule="auto"/>
              <w:rPr>
                <w:rFonts w:ascii="宋体" w:hAnsi="宋体" w:cs="宋体"/>
                <w:szCs w:val="21"/>
              </w:rPr>
            </w:pPr>
            <w:r>
              <w:rPr>
                <w:rFonts w:hint="eastAsia" w:ascii="宋体" w:hAnsi="宋体" w:cs="宋体"/>
              </w:rPr>
              <w:t>□本采购项</w:t>
            </w:r>
            <w:r>
              <w:rPr>
                <w:rFonts w:hint="eastAsia" w:ascii="宋体" w:hAnsi="宋体" w:cs="宋体"/>
                <w:szCs w:val="21"/>
              </w:rPr>
              <w:t>目已经</w:t>
            </w:r>
            <w:r>
              <w:rPr>
                <w:rFonts w:hint="eastAsia" w:ascii="宋体" w:hAnsi="宋体" w:cs="宋体"/>
                <w:kern w:val="0"/>
                <w:szCs w:val="21"/>
              </w:rPr>
              <w:t>财政部门审核同意购买进口产品。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b/>
                <w:szCs w:val="21"/>
              </w:rPr>
            </w:pPr>
            <w:r>
              <w:rPr>
                <w:rFonts w:hint="eastAsia" w:ascii="宋体" w:hAnsi="宋体" w:cs="宋体"/>
                <w:b/>
                <w:szCs w:val="21"/>
              </w:rPr>
              <w:t>二、招标文件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第一章第8.3款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财政部门指定的媒体</w:t>
            </w:r>
          </w:p>
        </w:tc>
        <w:tc>
          <w:tcPr>
            <w:tcW w:w="4893" w:type="dxa"/>
            <w:gridSpan w:val="2"/>
            <w:vAlign w:val="center"/>
          </w:tcPr>
          <w:p>
            <w:pPr>
              <w:adjustRightInd w:val="0"/>
              <w:snapToGrid w:val="0"/>
              <w:spacing w:beforeLines="50" w:line="300" w:lineRule="auto"/>
              <w:jc w:val="left"/>
              <w:rPr>
                <w:rFonts w:ascii="宋体" w:hAnsi="宋体" w:cs="宋体"/>
                <w:szCs w:val="21"/>
              </w:rPr>
            </w:pPr>
            <w:r>
              <w:rPr>
                <w:rFonts w:hint="eastAsia" w:ascii="宋体" w:hAnsi="宋体" w:cs="宋体"/>
                <w:szCs w:val="21"/>
              </w:rPr>
              <w:t>中   国   湖   南   政   府   采   购    网</w:t>
            </w:r>
          </w:p>
          <w:p>
            <w:pPr>
              <w:adjustRightInd w:val="0"/>
              <w:snapToGrid w:val="0"/>
              <w:spacing w:beforeLines="50" w:line="300" w:lineRule="auto"/>
              <w:jc w:val="left"/>
              <w:rPr>
                <w:rFonts w:ascii="宋体" w:hAnsi="宋体" w:cs="宋体"/>
                <w:szCs w:val="21"/>
              </w:rPr>
            </w:pPr>
            <w:r>
              <w:rPr>
                <w:rFonts w:hint="eastAsia" w:ascii="宋体" w:hAnsi="宋体" w:cs="宋体"/>
                <w:szCs w:val="21"/>
              </w:rPr>
              <w:t>(www.ccgp-hunan.gov.cn)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56"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第一章第9.1款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招标文件的提供期限</w:t>
            </w:r>
          </w:p>
        </w:tc>
        <w:tc>
          <w:tcPr>
            <w:tcW w:w="4893" w:type="dxa"/>
            <w:gridSpan w:val="2"/>
            <w:vAlign w:val="center"/>
          </w:tcPr>
          <w:p>
            <w:pPr>
              <w:adjustRightInd w:val="0"/>
              <w:snapToGrid w:val="0"/>
              <w:spacing w:beforeLines="50" w:line="300" w:lineRule="auto"/>
              <w:rPr>
                <w:rFonts w:ascii="宋体" w:hAnsi="宋体" w:cs="宋体"/>
                <w:szCs w:val="21"/>
              </w:rPr>
            </w:pPr>
            <w:r>
              <w:rPr>
                <w:rFonts w:hint="eastAsia" w:ascii="宋体" w:hAnsi="宋体" w:cs="宋体"/>
                <w:szCs w:val="21"/>
                <w:u w:val="single"/>
              </w:rPr>
              <w:t xml:space="preserve"> 2019 </w:t>
            </w:r>
            <w:r>
              <w:rPr>
                <w:rFonts w:hint="eastAsia" w:ascii="宋体" w:hAnsi="宋体" w:cs="宋体"/>
                <w:szCs w:val="21"/>
              </w:rPr>
              <w:t>年</w:t>
            </w:r>
            <w:r>
              <w:rPr>
                <w:rFonts w:hint="eastAsia" w:ascii="宋体" w:hAnsi="宋体" w:cs="宋体"/>
                <w:szCs w:val="21"/>
                <w:u w:val="single"/>
              </w:rPr>
              <w:t xml:space="preserve"> 2 </w:t>
            </w:r>
            <w:r>
              <w:rPr>
                <w:rFonts w:hint="eastAsia" w:ascii="宋体" w:hAnsi="宋体" w:cs="宋体"/>
                <w:szCs w:val="21"/>
              </w:rPr>
              <w:t>月</w:t>
            </w:r>
            <w:r>
              <w:rPr>
                <w:rFonts w:hint="eastAsia" w:ascii="宋体" w:hAnsi="宋体" w:cs="宋体"/>
                <w:szCs w:val="21"/>
                <w:u w:val="single"/>
              </w:rPr>
              <w:t xml:space="preserve"> 13 </w:t>
            </w:r>
            <w:r>
              <w:rPr>
                <w:rFonts w:hint="eastAsia" w:ascii="宋体" w:hAnsi="宋体" w:cs="宋体"/>
                <w:szCs w:val="21"/>
              </w:rPr>
              <w:t>日</w:t>
            </w:r>
            <w:r>
              <w:rPr>
                <w:rFonts w:hint="eastAsia" w:ascii="宋体" w:hAnsi="宋体" w:cs="宋体"/>
                <w:szCs w:val="21"/>
                <w:u w:val="single"/>
              </w:rPr>
              <w:t xml:space="preserve"> 9 </w:t>
            </w:r>
            <w:r>
              <w:rPr>
                <w:rFonts w:hint="eastAsia" w:ascii="宋体" w:hAnsi="宋体" w:cs="宋体"/>
                <w:szCs w:val="21"/>
              </w:rPr>
              <w:t>时</w:t>
            </w:r>
            <w:r>
              <w:rPr>
                <w:rFonts w:hint="eastAsia" w:ascii="宋体" w:hAnsi="宋体" w:cs="宋体"/>
                <w:szCs w:val="21"/>
                <w:u w:val="single"/>
              </w:rPr>
              <w:t xml:space="preserve"> 00</w:t>
            </w:r>
            <w:r>
              <w:rPr>
                <w:rFonts w:hint="eastAsia" w:ascii="宋体" w:hAnsi="宋体" w:cs="宋体"/>
                <w:szCs w:val="21"/>
              </w:rPr>
              <w:t>分  至</w:t>
            </w:r>
          </w:p>
          <w:p>
            <w:pPr>
              <w:adjustRightInd w:val="0"/>
              <w:snapToGrid w:val="0"/>
              <w:spacing w:beforeLines="50" w:line="300" w:lineRule="auto"/>
              <w:rPr>
                <w:rFonts w:ascii="宋体" w:hAnsi="宋体" w:cs="宋体"/>
                <w:szCs w:val="21"/>
                <w:u w:val="single"/>
              </w:rPr>
            </w:pPr>
            <w:r>
              <w:rPr>
                <w:rFonts w:hint="eastAsia" w:ascii="宋体" w:hAnsi="宋体" w:cs="宋体"/>
                <w:szCs w:val="21"/>
                <w:u w:val="single"/>
              </w:rPr>
              <w:t>2019</w:t>
            </w:r>
            <w:r>
              <w:rPr>
                <w:rFonts w:hint="eastAsia" w:ascii="宋体" w:hAnsi="宋体" w:cs="宋体"/>
                <w:szCs w:val="21"/>
              </w:rPr>
              <w:t>年</w:t>
            </w:r>
            <w:r>
              <w:rPr>
                <w:rFonts w:hint="eastAsia" w:ascii="宋体" w:hAnsi="宋体" w:cs="宋体"/>
                <w:szCs w:val="21"/>
                <w:u w:val="single"/>
              </w:rPr>
              <w:t xml:space="preserve"> 2 </w:t>
            </w:r>
            <w:r>
              <w:rPr>
                <w:rFonts w:hint="eastAsia" w:ascii="宋体" w:hAnsi="宋体" w:cs="宋体"/>
                <w:szCs w:val="21"/>
              </w:rPr>
              <w:t>月</w:t>
            </w:r>
            <w:r>
              <w:rPr>
                <w:rFonts w:hint="eastAsia" w:ascii="宋体" w:hAnsi="宋体" w:cs="宋体"/>
                <w:szCs w:val="21"/>
                <w:u w:val="single"/>
              </w:rPr>
              <w:t xml:space="preserve"> 19 </w:t>
            </w:r>
            <w:r>
              <w:rPr>
                <w:rFonts w:hint="eastAsia" w:ascii="宋体" w:hAnsi="宋体" w:cs="宋体"/>
                <w:szCs w:val="21"/>
              </w:rPr>
              <w:t>日</w:t>
            </w:r>
            <w:r>
              <w:rPr>
                <w:rFonts w:hint="eastAsia" w:ascii="宋体" w:hAnsi="宋体" w:cs="宋体"/>
                <w:szCs w:val="21"/>
                <w:u w:val="single"/>
              </w:rPr>
              <w:t xml:space="preserve"> 17 </w:t>
            </w:r>
            <w:r>
              <w:rPr>
                <w:rFonts w:hint="eastAsia" w:ascii="宋体" w:hAnsi="宋体" w:cs="宋体"/>
                <w:szCs w:val="21"/>
              </w:rPr>
              <w:t>时</w:t>
            </w:r>
            <w:r>
              <w:rPr>
                <w:rFonts w:hint="eastAsia" w:ascii="宋体" w:hAnsi="宋体" w:cs="宋体"/>
                <w:szCs w:val="21"/>
                <w:u w:val="single"/>
              </w:rPr>
              <w:t xml:space="preserve"> 00</w:t>
            </w:r>
            <w:r>
              <w:rPr>
                <w:rFonts w:hint="eastAsia" w:ascii="宋体" w:hAnsi="宋体" w:cs="宋体"/>
                <w:szCs w:val="21"/>
              </w:rPr>
              <w:t>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72"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第一章第9.2款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购买招标文件时应提供的资料</w:t>
            </w:r>
          </w:p>
        </w:tc>
        <w:tc>
          <w:tcPr>
            <w:tcW w:w="4893" w:type="dxa"/>
            <w:gridSpan w:val="2"/>
            <w:vAlign w:val="center"/>
          </w:tcPr>
          <w:p>
            <w:pPr>
              <w:widowControl/>
              <w:spacing w:line="360" w:lineRule="auto"/>
              <w:jc w:val="left"/>
              <w:rPr>
                <w:rFonts w:ascii="宋体" w:hAnsi="宋体" w:cs="宋体"/>
              </w:rPr>
            </w:pPr>
            <w:r>
              <w:rPr>
                <w:rFonts w:hint="eastAsia" w:ascii="宋体" w:hAnsi="宋体" w:cs="宋体"/>
              </w:rPr>
              <w:t>（1）符合资格要求并有意参加本项目投标必须办理湖南CA数字证书,投标人在岳阳市公共资源交易中心网上注册应对所提供的证件和证明材料的真实性承担法律责任。</w:t>
            </w:r>
          </w:p>
          <w:p>
            <w:pPr>
              <w:widowControl/>
              <w:spacing w:line="360" w:lineRule="auto"/>
              <w:jc w:val="left"/>
              <w:rPr>
                <w:rFonts w:ascii="宋体" w:hAnsi="宋体" w:cs="宋体"/>
              </w:rPr>
            </w:pPr>
            <w:r>
              <w:rPr>
                <w:rFonts w:hint="eastAsia" w:ascii="宋体" w:hAnsi="宋体" w:cs="宋体"/>
              </w:rPr>
              <w:t>（2）本次招标只支持网上支付标书费报名并从系统中下载招标文件。(联系电话：0730-8181091)</w:t>
            </w:r>
          </w:p>
          <w:p>
            <w:pPr>
              <w:widowControl/>
              <w:spacing w:line="360" w:lineRule="auto"/>
              <w:jc w:val="left"/>
              <w:rPr>
                <w:rFonts w:ascii="宋体" w:hAnsi="宋体" w:cs="宋体"/>
              </w:rPr>
            </w:pPr>
            <w:r>
              <w:rPr>
                <w:rFonts w:hint="eastAsia" w:ascii="宋体" w:hAnsi="宋体" w:cs="宋体"/>
              </w:rPr>
              <w:t>（3）招标文件售价：人民币400元/本，只支持网银支付。本项目只有网上购买标书，投标人才有资格生成投标保证金账号，缴纳保证金。</w:t>
            </w:r>
          </w:p>
          <w:p>
            <w:pPr>
              <w:widowControl/>
              <w:spacing w:line="360" w:lineRule="auto"/>
              <w:jc w:val="left"/>
              <w:rPr>
                <w:rFonts w:ascii="宋体" w:hAnsi="宋体" w:cs="宋体"/>
                <w:szCs w:val="21"/>
              </w:rPr>
            </w:pPr>
            <w:r>
              <w:rPr>
                <w:rFonts w:hint="eastAsia" w:ascii="宋体" w:hAnsi="宋体" w:cs="宋体"/>
              </w:rPr>
              <w:t>（4）招标文件提供下载期限：2019年 2 月13 日至2019年 2 月19日, 投标人应自行在岳阳市公共资源交易中心网上下载/获取招标文件,投标人应及时关注网上相关招标信息，如有遗漏（包括但不限于文件未下载或下载不完整）招标人概不负责，所造成的投标失败或损失由投标人自行负责。</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第一章第10.3</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一般条款允许偏离的最高项数</w:t>
            </w:r>
          </w:p>
        </w:tc>
        <w:tc>
          <w:tcPr>
            <w:tcW w:w="4893" w:type="dxa"/>
            <w:gridSpan w:val="2"/>
            <w:vAlign w:val="center"/>
          </w:tcPr>
          <w:p>
            <w:pPr>
              <w:adjustRightInd w:val="0"/>
              <w:snapToGrid w:val="0"/>
              <w:spacing w:beforeLines="50" w:line="300" w:lineRule="auto"/>
              <w:rPr>
                <w:rFonts w:ascii="宋体" w:hAnsi="宋体" w:cs="宋体"/>
                <w:szCs w:val="21"/>
              </w:rPr>
            </w:pPr>
            <w:r>
              <w:rPr>
                <w:rFonts w:hint="eastAsia" w:ascii="宋体" w:hAnsi="宋体" w:cs="宋体"/>
                <w:szCs w:val="21"/>
              </w:rPr>
              <w:t>一般商务</w:t>
            </w:r>
            <w:r>
              <w:rPr>
                <w:rFonts w:hint="eastAsia" w:ascii="宋体" w:hAnsi="宋体" w:cs="宋体"/>
                <w:spacing w:val="4"/>
                <w:szCs w:val="21"/>
              </w:rPr>
              <w:t>和</w:t>
            </w:r>
            <w:r>
              <w:rPr>
                <w:rFonts w:hint="eastAsia" w:ascii="宋体" w:hAnsi="宋体" w:cs="宋体"/>
                <w:szCs w:val="21"/>
              </w:rPr>
              <w:t>技术条款（参数），负偏离项数之和≥</w:t>
            </w:r>
          </w:p>
          <w:p>
            <w:pPr>
              <w:adjustRightInd w:val="0"/>
              <w:snapToGrid w:val="0"/>
              <w:spacing w:beforeLines="50" w:line="300" w:lineRule="auto"/>
              <w:rPr>
                <w:rFonts w:ascii="宋体" w:hAnsi="宋体" w:cs="宋体"/>
                <w:szCs w:val="21"/>
              </w:rPr>
            </w:pPr>
            <w:r>
              <w:rPr>
                <w:rFonts w:hint="eastAsia" w:ascii="宋体" w:hAnsi="宋体" w:cs="宋体"/>
                <w:szCs w:val="21"/>
                <w:u w:val="single"/>
              </w:rPr>
              <w:t xml:space="preserve"> 5 </w:t>
            </w:r>
            <w:r>
              <w:rPr>
                <w:rFonts w:hint="eastAsia" w:ascii="宋体" w:hAnsi="宋体" w:cs="宋体"/>
                <w:szCs w:val="21"/>
              </w:rPr>
              <w:t>项将导致无效投标。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第一章第10.4</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条款数（最高项数）的统计方法</w:t>
            </w:r>
          </w:p>
        </w:tc>
        <w:tc>
          <w:tcPr>
            <w:tcW w:w="4893" w:type="dxa"/>
            <w:gridSpan w:val="2"/>
            <w:vAlign w:val="center"/>
          </w:tcPr>
          <w:p>
            <w:pPr>
              <w:adjustRightInd w:val="0"/>
              <w:snapToGrid w:val="0"/>
              <w:spacing w:beforeLines="50" w:line="300" w:lineRule="auto"/>
              <w:rPr>
                <w:rFonts w:ascii="宋体" w:hAnsi="宋体" w:cs="宋体"/>
                <w:szCs w:val="21"/>
              </w:rPr>
            </w:pPr>
            <w:r>
              <w:rPr>
                <w:rFonts w:hint="eastAsia" w:ascii="宋体" w:hAnsi="宋体" w:cs="宋体"/>
                <w:szCs w:val="21"/>
              </w:rPr>
              <w:t>累加，相同内容的条款不重复计算项数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第一章第11.1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提交投标文件截止时间</w:t>
            </w:r>
          </w:p>
        </w:tc>
        <w:tc>
          <w:tcPr>
            <w:tcW w:w="4893" w:type="dxa"/>
            <w:gridSpan w:val="2"/>
            <w:vAlign w:val="center"/>
          </w:tcPr>
          <w:p>
            <w:pPr>
              <w:adjustRightInd w:val="0"/>
              <w:snapToGrid w:val="0"/>
              <w:spacing w:beforeLines="50" w:line="300" w:lineRule="auto"/>
              <w:rPr>
                <w:rFonts w:ascii="宋体" w:hAnsi="宋体" w:cs="宋体"/>
                <w:szCs w:val="21"/>
                <w:u w:val="single"/>
              </w:rPr>
            </w:pPr>
            <w:r>
              <w:rPr>
                <w:rFonts w:hint="eastAsia" w:ascii="宋体" w:hAnsi="宋体" w:cs="宋体"/>
                <w:szCs w:val="21"/>
                <w:u w:val="single"/>
              </w:rPr>
              <w:t>2019</w:t>
            </w:r>
            <w:r>
              <w:rPr>
                <w:rFonts w:hint="eastAsia" w:ascii="宋体" w:hAnsi="宋体" w:cs="宋体"/>
                <w:szCs w:val="21"/>
              </w:rPr>
              <w:t>年</w:t>
            </w:r>
            <w:r>
              <w:rPr>
                <w:rFonts w:hint="eastAsia" w:ascii="宋体" w:hAnsi="宋体" w:cs="宋体"/>
                <w:szCs w:val="21"/>
                <w:u w:val="single"/>
              </w:rPr>
              <w:t xml:space="preserve"> 4 </w:t>
            </w:r>
            <w:r>
              <w:rPr>
                <w:rFonts w:hint="eastAsia" w:ascii="宋体" w:hAnsi="宋体" w:cs="宋体"/>
                <w:szCs w:val="21"/>
              </w:rPr>
              <w:t>月</w:t>
            </w:r>
            <w:r>
              <w:rPr>
                <w:rFonts w:hint="eastAsia" w:ascii="宋体" w:hAnsi="宋体" w:cs="宋体"/>
                <w:szCs w:val="21"/>
                <w:u w:val="single"/>
              </w:rPr>
              <w:t xml:space="preserve"> 29</w:t>
            </w:r>
            <w:r>
              <w:rPr>
                <w:rFonts w:hint="eastAsia" w:ascii="宋体" w:hAnsi="宋体" w:cs="宋体"/>
                <w:szCs w:val="21"/>
              </w:rPr>
              <w:t>日（星期四）</w:t>
            </w:r>
            <w:r>
              <w:rPr>
                <w:rFonts w:hint="eastAsia" w:ascii="宋体" w:hAnsi="宋体" w:cs="宋体"/>
                <w:szCs w:val="21"/>
                <w:u w:val="single"/>
              </w:rPr>
              <w:t>9</w:t>
            </w:r>
            <w:r>
              <w:rPr>
                <w:rFonts w:hint="eastAsia" w:ascii="宋体" w:hAnsi="宋体" w:cs="宋体"/>
                <w:szCs w:val="21"/>
              </w:rPr>
              <w:t>时</w:t>
            </w:r>
            <w:r>
              <w:rPr>
                <w:rFonts w:hint="eastAsia" w:ascii="宋体" w:hAnsi="宋体" w:cs="宋体"/>
                <w:szCs w:val="21"/>
                <w:u w:val="single"/>
              </w:rPr>
              <w:t>00</w:t>
            </w:r>
            <w:r>
              <w:rPr>
                <w:rFonts w:hint="eastAsia" w:ascii="宋体" w:hAnsi="宋体" w:cs="宋体"/>
                <w:szCs w:val="21"/>
              </w:rPr>
              <w:t>分（北京时间）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szCs w:val="21"/>
              </w:rPr>
            </w:pPr>
            <w:r>
              <w:rPr>
                <w:rFonts w:hint="eastAsia" w:ascii="宋体" w:hAnsi="宋体" w:cs="宋体"/>
                <w:b/>
                <w:szCs w:val="21"/>
              </w:rPr>
              <w:t>三、投标文件的编写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第一章第16.3</w:t>
            </w:r>
            <w:r>
              <w:rPr>
                <w:rFonts w:hint="eastAsia" w:ascii="宋体" w:hAnsi="宋体" w:cs="宋体"/>
                <w:kern w:val="0"/>
                <w:szCs w:val="21"/>
                <w:lang w:val="zh-CN"/>
              </w:rPr>
              <w:t>款</w:t>
            </w:r>
          </w:p>
        </w:tc>
        <w:tc>
          <w:tcPr>
            <w:tcW w:w="2278"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备选方案</w:t>
            </w:r>
          </w:p>
        </w:tc>
        <w:tc>
          <w:tcPr>
            <w:tcW w:w="4914" w:type="dxa"/>
            <w:gridSpan w:val="3"/>
            <w:vAlign w:val="center"/>
          </w:tcPr>
          <w:p>
            <w:pPr>
              <w:adjustRightInd w:val="0"/>
              <w:snapToGrid w:val="0"/>
              <w:spacing w:beforeLines="50" w:line="276" w:lineRule="auto"/>
              <w:rPr>
                <w:rFonts w:ascii="宋体" w:hAnsi="宋体" w:cs="宋体"/>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eq \o\ac(</w:instrText>
            </w:r>
            <w:r>
              <w:rPr>
                <w:rFonts w:hint="eastAsia" w:ascii="仿宋" w:hAnsi="仿宋" w:eastAsia="仿宋" w:cs="仿宋"/>
                <w:position w:val="-2"/>
                <w:szCs w:val="21"/>
              </w:rPr>
              <w:instrText xml:space="preserve">□</w:instrText>
            </w:r>
            <w:r>
              <w:rPr>
                <w:rFonts w:hint="eastAsia" w:ascii="仿宋" w:hAnsi="仿宋" w:eastAsia="仿宋" w:cs="仿宋"/>
                <w:szCs w:val="21"/>
              </w:rPr>
              <w:instrText xml:space="preserve">,√)</w:instrText>
            </w:r>
            <w:r>
              <w:rPr>
                <w:rFonts w:hint="eastAsia" w:ascii="仿宋" w:hAnsi="仿宋" w:eastAsia="仿宋" w:cs="仿宋"/>
                <w:szCs w:val="21"/>
              </w:rPr>
              <w:fldChar w:fldCharType="end"/>
            </w:r>
            <w:r>
              <w:rPr>
                <w:rFonts w:hint="eastAsia" w:ascii="宋体" w:hAnsi="宋体" w:cs="宋体"/>
                <w:szCs w:val="21"/>
              </w:rPr>
              <w:t>不接受</w:t>
            </w:r>
          </w:p>
          <w:p>
            <w:pPr>
              <w:adjustRightInd w:val="0"/>
              <w:snapToGrid w:val="0"/>
              <w:spacing w:beforeLines="50" w:line="276" w:lineRule="auto"/>
              <w:rPr>
                <w:rFonts w:ascii="宋体" w:hAnsi="宋体" w:cs="宋体"/>
                <w:szCs w:val="21"/>
              </w:rPr>
            </w:pPr>
            <w:r>
              <w:rPr>
                <w:rFonts w:hint="eastAsia" w:ascii="宋体" w:hAnsi="宋体" w:cs="宋体"/>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46" w:hRule="atLeast"/>
        </w:trPr>
        <w:tc>
          <w:tcPr>
            <w:tcW w:w="2147" w:type="dxa"/>
            <w:tcBorders>
              <w:bottom w:val="single" w:color="auto" w:sz="4" w:space="0"/>
            </w:tcBorders>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第一章第16.4</w:t>
            </w:r>
            <w:r>
              <w:rPr>
                <w:rFonts w:hint="eastAsia" w:ascii="宋体" w:hAnsi="宋体" w:cs="宋体"/>
                <w:kern w:val="0"/>
                <w:szCs w:val="21"/>
                <w:lang w:val="zh-CN"/>
              </w:rPr>
              <w:t>款</w:t>
            </w:r>
          </w:p>
        </w:tc>
        <w:tc>
          <w:tcPr>
            <w:tcW w:w="2278" w:type="dxa"/>
            <w:tcBorders>
              <w:bottom w:val="single" w:color="auto" w:sz="4" w:space="0"/>
            </w:tcBorders>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采购项目预算</w:t>
            </w:r>
          </w:p>
        </w:tc>
        <w:tc>
          <w:tcPr>
            <w:tcW w:w="4914" w:type="dxa"/>
            <w:gridSpan w:val="3"/>
            <w:tcBorders>
              <w:bottom w:val="single" w:color="auto" w:sz="4" w:space="0"/>
            </w:tcBorders>
            <w:vAlign w:val="center"/>
          </w:tcPr>
          <w:p>
            <w:pPr>
              <w:spacing w:line="360" w:lineRule="auto"/>
              <w:rPr>
                <w:rFonts w:ascii="宋体" w:hAnsi="宋体" w:cs="宋体"/>
                <w:szCs w:val="21"/>
                <w:u w:val="single"/>
              </w:rPr>
            </w:pPr>
            <w:r>
              <w:rPr>
                <w:rFonts w:hint="eastAsia"/>
              </w:rPr>
              <w:t>本项目预算为：</w:t>
            </w:r>
            <w:r>
              <w:rPr>
                <w:rFonts w:hint="eastAsia"/>
                <w:u w:val="single"/>
              </w:rPr>
              <w:t xml:space="preserve"> 6600000.00 </w:t>
            </w:r>
            <w:r>
              <w:rPr>
                <w:rFonts w:hint="eastAsia"/>
              </w:rPr>
              <w:t>元。</w:t>
            </w:r>
            <w:r>
              <w:rPr>
                <w:rFonts w:hint="eastAsia"/>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5" w:hRule="atLeast"/>
        </w:trPr>
        <w:tc>
          <w:tcPr>
            <w:tcW w:w="2147" w:type="dxa"/>
            <w:tcBorders>
              <w:top w:val="single" w:color="auto" w:sz="4" w:space="0"/>
              <w:bottom w:val="single" w:color="auto" w:sz="4" w:space="0"/>
            </w:tcBorders>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第一章第18.3</w:t>
            </w:r>
            <w:r>
              <w:rPr>
                <w:rFonts w:hint="eastAsia" w:ascii="宋体" w:hAnsi="宋体" w:cs="宋体"/>
                <w:kern w:val="0"/>
                <w:szCs w:val="21"/>
                <w:lang w:val="zh-CN"/>
              </w:rPr>
              <w:t>款</w:t>
            </w:r>
          </w:p>
        </w:tc>
        <w:tc>
          <w:tcPr>
            <w:tcW w:w="2278" w:type="dxa"/>
            <w:tcBorders>
              <w:top w:val="single" w:color="auto" w:sz="4" w:space="0"/>
              <w:bottom w:val="single" w:color="auto" w:sz="4" w:space="0"/>
            </w:tcBorders>
            <w:vAlign w:val="center"/>
          </w:tcPr>
          <w:p>
            <w:pPr>
              <w:adjustRightInd w:val="0"/>
              <w:snapToGrid w:val="0"/>
              <w:spacing w:beforeLines="50" w:line="360" w:lineRule="auto"/>
              <w:ind w:left="-533" w:leftChars="-254" w:firstLine="533" w:firstLineChars="254"/>
              <w:jc w:val="center"/>
              <w:rPr>
                <w:rFonts w:ascii="宋体" w:hAnsi="宋体" w:cs="宋体"/>
                <w:szCs w:val="21"/>
              </w:rPr>
            </w:pPr>
            <w:r>
              <w:rPr>
                <w:rFonts w:hint="eastAsia" w:ascii="宋体" w:hAnsi="宋体" w:cs="宋体"/>
                <w:szCs w:val="21"/>
              </w:rPr>
              <w:t>非制造商参加投标的规定</w:t>
            </w:r>
          </w:p>
        </w:tc>
        <w:tc>
          <w:tcPr>
            <w:tcW w:w="4914" w:type="dxa"/>
            <w:gridSpan w:val="3"/>
            <w:tcBorders>
              <w:top w:val="single" w:color="auto" w:sz="4" w:space="0"/>
              <w:bottom w:val="single" w:color="auto" w:sz="4" w:space="0"/>
            </w:tcBorders>
            <w:vAlign w:val="center"/>
          </w:tcPr>
          <w:p>
            <w:pPr>
              <w:adjustRightInd w:val="0"/>
              <w:snapToGrid w:val="0"/>
              <w:spacing w:beforeLines="50" w:line="276" w:lineRule="auto"/>
              <w:rPr>
                <w:rFonts w:ascii="宋体" w:hAnsi="宋体" w:cs="宋体"/>
                <w:szCs w:val="21"/>
              </w:rPr>
            </w:pPr>
            <w:r>
              <w:rPr>
                <w:rFonts w:hint="eastAsia" w:ascii="宋体" w:hAnsi="宋体" w:cs="宋体"/>
                <w:szCs w:val="21"/>
              </w:rPr>
              <w:t>□不要求提供</w:t>
            </w:r>
          </w:p>
          <w:p>
            <w:pPr>
              <w:adjustRightInd w:val="0"/>
              <w:snapToGrid w:val="0"/>
              <w:spacing w:beforeLines="50" w:line="276" w:lineRule="auto"/>
              <w:rPr>
                <w:rFonts w:ascii="宋体" w:hAnsi="宋体" w:cs="宋体"/>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eq \o\ac(</w:instrText>
            </w:r>
            <w:r>
              <w:rPr>
                <w:rFonts w:hint="eastAsia" w:ascii="仿宋" w:hAnsi="仿宋" w:eastAsia="仿宋" w:cs="仿宋"/>
                <w:position w:val="-2"/>
                <w:szCs w:val="21"/>
              </w:rPr>
              <w:instrText xml:space="preserve">□</w:instrText>
            </w:r>
            <w:r>
              <w:rPr>
                <w:rFonts w:hint="eastAsia" w:ascii="仿宋" w:hAnsi="仿宋" w:eastAsia="仿宋" w:cs="仿宋"/>
                <w:szCs w:val="21"/>
              </w:rPr>
              <w:instrText xml:space="preserve">,√)</w:instrText>
            </w:r>
            <w:r>
              <w:rPr>
                <w:rFonts w:hint="eastAsia" w:ascii="仿宋" w:hAnsi="仿宋" w:eastAsia="仿宋" w:cs="仿宋"/>
                <w:szCs w:val="21"/>
              </w:rPr>
              <w:fldChar w:fldCharType="end"/>
            </w:r>
            <w:r>
              <w:rPr>
                <w:rFonts w:hint="eastAsia" w:ascii="宋体" w:hAnsi="宋体" w:cs="宋体"/>
                <w:szCs w:val="21"/>
              </w:rPr>
              <w:t>要求提供，提供厂家为投标服务项目提供售后服务的证明文件。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147" w:type="dxa"/>
            <w:tcBorders>
              <w:top w:val="single" w:color="auto" w:sz="4" w:space="0"/>
            </w:tcBorders>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第一章第19.3</w:t>
            </w:r>
            <w:r>
              <w:rPr>
                <w:rFonts w:hint="eastAsia" w:ascii="宋体" w:hAnsi="宋体" w:cs="宋体"/>
                <w:kern w:val="0"/>
                <w:szCs w:val="21"/>
                <w:lang w:val="zh-CN"/>
              </w:rPr>
              <w:t>款</w:t>
            </w:r>
          </w:p>
        </w:tc>
        <w:tc>
          <w:tcPr>
            <w:tcW w:w="2278" w:type="dxa"/>
            <w:tcBorders>
              <w:top w:val="single" w:color="auto" w:sz="4" w:space="0"/>
            </w:tcBorders>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样品提供的规定</w:t>
            </w:r>
          </w:p>
        </w:tc>
        <w:tc>
          <w:tcPr>
            <w:tcW w:w="4914" w:type="dxa"/>
            <w:gridSpan w:val="3"/>
            <w:tcBorders>
              <w:top w:val="single" w:color="auto" w:sz="4" w:space="0"/>
            </w:tcBorders>
            <w:vAlign w:val="center"/>
          </w:tcPr>
          <w:p>
            <w:pPr>
              <w:adjustRightInd w:val="0"/>
              <w:snapToGrid w:val="0"/>
              <w:spacing w:beforeLines="50" w:line="276" w:lineRule="auto"/>
              <w:rPr>
                <w:rFonts w:ascii="宋体" w:hAnsi="宋体" w:cs="宋体"/>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eq \o\ac(</w:instrText>
            </w:r>
            <w:r>
              <w:rPr>
                <w:rFonts w:hint="eastAsia" w:ascii="仿宋" w:hAnsi="仿宋" w:eastAsia="仿宋" w:cs="仿宋"/>
                <w:position w:val="-2"/>
                <w:szCs w:val="21"/>
              </w:rPr>
              <w:instrText xml:space="preserve">□</w:instrText>
            </w:r>
            <w:r>
              <w:rPr>
                <w:rFonts w:hint="eastAsia" w:ascii="仿宋" w:hAnsi="仿宋" w:eastAsia="仿宋" w:cs="仿宋"/>
                <w:szCs w:val="21"/>
              </w:rPr>
              <w:instrText xml:space="preserve">,√)</w:instrText>
            </w:r>
            <w:r>
              <w:rPr>
                <w:rFonts w:hint="eastAsia" w:ascii="仿宋" w:hAnsi="仿宋" w:eastAsia="仿宋" w:cs="仿宋"/>
                <w:szCs w:val="21"/>
              </w:rPr>
              <w:fldChar w:fldCharType="end"/>
            </w:r>
            <w:r>
              <w:rPr>
                <w:rFonts w:hint="eastAsia" w:ascii="宋体" w:hAnsi="宋体" w:cs="宋体"/>
                <w:szCs w:val="21"/>
              </w:rPr>
              <w:t>不要求提供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89"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第一章第20.1</w:t>
            </w:r>
            <w:r>
              <w:rPr>
                <w:rFonts w:hint="eastAsia" w:ascii="宋体" w:hAnsi="宋体" w:cs="宋体"/>
                <w:kern w:val="0"/>
                <w:szCs w:val="21"/>
                <w:lang w:val="zh-CN"/>
              </w:rPr>
              <w:t>款</w:t>
            </w:r>
          </w:p>
        </w:tc>
        <w:tc>
          <w:tcPr>
            <w:tcW w:w="2278" w:type="dxa"/>
            <w:vAlign w:val="center"/>
          </w:tcPr>
          <w:p>
            <w:pPr>
              <w:adjustRightInd w:val="0"/>
              <w:snapToGrid w:val="0"/>
              <w:spacing w:beforeLines="50" w:line="300" w:lineRule="auto"/>
              <w:ind w:left="-533" w:leftChars="-254" w:firstLine="533" w:firstLineChars="254"/>
              <w:jc w:val="center"/>
              <w:rPr>
                <w:rFonts w:ascii="宋体" w:hAnsi="宋体" w:cs="宋体"/>
                <w:szCs w:val="21"/>
              </w:rPr>
            </w:pPr>
            <w:r>
              <w:rPr>
                <w:rFonts w:hint="eastAsia" w:ascii="宋体" w:hAnsi="宋体" w:cs="宋体"/>
                <w:szCs w:val="21"/>
              </w:rPr>
              <w:t>投标保证金</w:t>
            </w:r>
          </w:p>
        </w:tc>
        <w:tc>
          <w:tcPr>
            <w:tcW w:w="4914" w:type="dxa"/>
            <w:gridSpan w:val="3"/>
          </w:tcPr>
          <w:p>
            <w:pPr>
              <w:widowControl/>
              <w:spacing w:line="360" w:lineRule="auto"/>
              <w:jc w:val="left"/>
              <w:rPr>
                <w:rFonts w:ascii="宋体" w:hAnsi="宋体" w:cs="宋体"/>
              </w:rPr>
            </w:pPr>
            <w:r>
              <w:rPr>
                <w:rFonts w:hint="eastAsia" w:ascii="宋体" w:hAnsi="宋体" w:cs="宋体"/>
              </w:rPr>
              <w:t>□ 不要求提供</w:t>
            </w:r>
          </w:p>
          <w:p>
            <w:pPr>
              <w:widowControl/>
              <w:spacing w:line="360" w:lineRule="auto"/>
              <w:jc w:val="left"/>
              <w:rPr>
                <w:rFonts w:ascii="宋体" w:hAnsi="宋体" w:cs="宋体"/>
              </w:rPr>
            </w:pPr>
            <w:r>
              <w:rPr>
                <w:rFonts w:hint="eastAsia" w:ascii="宋体" w:hAnsi="宋体" w:cs="宋体"/>
              </w:rPr>
              <w:fldChar w:fldCharType="begin"/>
            </w:r>
            <w:r>
              <w:rPr>
                <w:rFonts w:hint="eastAsia" w:ascii="宋体" w:hAnsi="宋体" w:cs="宋体"/>
              </w:rPr>
              <w:instrText xml:space="preserve"> eq \o\ac(□,√)</w:instrText>
            </w:r>
            <w:r>
              <w:rPr>
                <w:rFonts w:hint="eastAsia" w:ascii="宋体" w:hAnsi="宋体" w:cs="宋体"/>
              </w:rPr>
              <w:fldChar w:fldCharType="end"/>
            </w:r>
            <w:r>
              <w:rPr>
                <w:rFonts w:hint="eastAsia" w:ascii="宋体" w:hAnsi="宋体" w:cs="宋体"/>
              </w:rPr>
              <w:t xml:space="preserve"> 要求提供</w:t>
            </w:r>
          </w:p>
          <w:p>
            <w:pPr>
              <w:adjustRightInd w:val="0"/>
              <w:snapToGrid w:val="0"/>
              <w:spacing w:beforeLines="50" w:line="360" w:lineRule="auto"/>
              <w:ind w:left="-533" w:leftChars="-254" w:firstLine="533" w:firstLineChars="254"/>
              <w:rPr>
                <w:rFonts w:ascii="宋体" w:hAnsi="宋体" w:cs="仿宋"/>
                <w:bCs/>
                <w:szCs w:val="21"/>
              </w:rPr>
            </w:pPr>
            <w:r>
              <w:rPr>
                <w:rFonts w:hint="eastAsia" w:ascii="宋体" w:hAnsi="宋体" w:cs="仿宋"/>
                <w:bCs/>
                <w:szCs w:val="21"/>
              </w:rPr>
              <w:t>（1）保证金数额：</w:t>
            </w:r>
            <w:r>
              <w:rPr>
                <w:rFonts w:hint="eastAsia" w:ascii="宋体" w:hAnsi="宋体" w:cs="仿宋"/>
                <w:bCs/>
                <w:szCs w:val="21"/>
                <w:u w:val="single"/>
              </w:rPr>
              <w:t>拾万元</w:t>
            </w:r>
            <w:r>
              <w:rPr>
                <w:rFonts w:hint="eastAsia" w:ascii="宋体" w:hAnsi="宋体" w:cs="仿宋"/>
                <w:bCs/>
                <w:szCs w:val="21"/>
              </w:rPr>
              <w:t>(人民币)。</w:t>
            </w:r>
          </w:p>
          <w:p>
            <w:pPr>
              <w:widowControl/>
              <w:spacing w:line="360" w:lineRule="auto"/>
              <w:jc w:val="left"/>
              <w:rPr>
                <w:rFonts w:ascii="宋体" w:hAnsi="宋体" w:cs="宋体"/>
              </w:rPr>
            </w:pPr>
            <w:r>
              <w:rPr>
                <w:rFonts w:hint="eastAsia" w:ascii="宋体" w:hAnsi="宋体" w:cs="宋体"/>
              </w:rPr>
              <w:t>（2）缴纳时间：2019年 4 月 28 日上午12时前（含）（北京时间），以岳阳市公共资源交易中心保证金支付系统到账时间为准。</w:t>
            </w:r>
          </w:p>
          <w:p>
            <w:pPr>
              <w:widowControl/>
              <w:spacing w:line="360" w:lineRule="auto"/>
              <w:ind w:left="1470" w:hanging="1470" w:hangingChars="700"/>
              <w:jc w:val="left"/>
              <w:rPr>
                <w:rFonts w:ascii="宋体" w:hAnsi="宋体" w:cs="宋体"/>
              </w:rPr>
            </w:pPr>
            <w:r>
              <w:rPr>
                <w:rFonts w:hint="eastAsia" w:ascii="宋体" w:hAnsi="宋体" w:cs="宋体"/>
              </w:rPr>
              <w:t>（3）缴纳方式：投标保证金应以投标人银行账户转账等非现金形式递交。</w:t>
            </w:r>
          </w:p>
          <w:p>
            <w:pPr>
              <w:widowControl/>
              <w:spacing w:line="360" w:lineRule="auto"/>
              <w:ind w:firstLine="630" w:firstLineChars="300"/>
              <w:jc w:val="left"/>
              <w:rPr>
                <w:rFonts w:ascii="宋体" w:hAnsi="宋体" w:cs="宋体"/>
              </w:rPr>
            </w:pPr>
            <w:r>
              <w:rPr>
                <w:rFonts w:hint="eastAsia" w:ascii="宋体" w:hAnsi="宋体" w:cs="宋体"/>
              </w:rPr>
              <w:t>账户名：岳阳市公共资源交易中心</w:t>
            </w:r>
          </w:p>
          <w:p>
            <w:pPr>
              <w:widowControl/>
              <w:spacing w:line="360" w:lineRule="auto"/>
              <w:ind w:left="1470" w:leftChars="300" w:hanging="840" w:hangingChars="400"/>
              <w:jc w:val="left"/>
              <w:rPr>
                <w:rFonts w:ascii="宋体" w:hAnsi="宋体" w:cs="宋体"/>
              </w:rPr>
            </w:pPr>
            <w:r>
              <w:rPr>
                <w:rFonts w:hint="eastAsia" w:ascii="宋体" w:hAnsi="宋体" w:cs="宋体"/>
              </w:rPr>
              <w:t>开户行：投标人在网上可自行选择保证金专户银行账户。</w:t>
            </w:r>
          </w:p>
          <w:p>
            <w:pPr>
              <w:widowControl/>
              <w:spacing w:line="360" w:lineRule="auto"/>
              <w:ind w:left="1470" w:leftChars="300" w:hanging="840" w:hangingChars="400"/>
              <w:jc w:val="left"/>
              <w:rPr>
                <w:rFonts w:ascii="宋体" w:hAnsi="宋体" w:cs="宋体"/>
              </w:rPr>
            </w:pPr>
            <w:r>
              <w:rPr>
                <w:rFonts w:hint="eastAsia" w:ascii="宋体" w:hAnsi="宋体" w:cs="宋体"/>
              </w:rPr>
              <w:t>账  号：投标人随机获取对应本项目（标段）投标保证金子账号。</w:t>
            </w:r>
          </w:p>
          <w:p>
            <w:pPr>
              <w:widowControl/>
              <w:spacing w:line="360" w:lineRule="auto"/>
              <w:jc w:val="left"/>
              <w:rPr>
                <w:rFonts w:ascii="宋体" w:hAnsi="宋体" w:cs="宋体"/>
              </w:rPr>
            </w:pPr>
            <w:r>
              <w:rPr>
                <w:rFonts w:hint="eastAsia" w:ascii="宋体" w:hAnsi="宋体" w:cs="宋体"/>
              </w:rPr>
              <w:t>①投标人在岳阳市公共资源交易网（ggzy.yueyang.gov.cn）选择“电子交易平台登陆”（首次登入需注册,完成注册并绑定投标人CA等相关手续后进入交易系统），投标人选择对应项目进行投标操作，生成对应本项目（标段）的投标保证金子账号。该账号为投标人缴纳本项目（标段）投标保证金的唯一账号，请注意保密。（投标人必须办理湖南CA数字证书才能完成登入及后续操作）</w:t>
            </w:r>
          </w:p>
          <w:p>
            <w:pPr>
              <w:widowControl/>
              <w:spacing w:line="360" w:lineRule="auto"/>
              <w:jc w:val="left"/>
              <w:rPr>
                <w:rFonts w:ascii="宋体" w:hAnsi="宋体" w:cs="宋体"/>
              </w:rPr>
            </w:pPr>
            <w:r>
              <w:rPr>
                <w:rFonts w:hint="eastAsia" w:ascii="宋体" w:hAnsi="宋体" w:cs="宋体"/>
              </w:rPr>
              <w:t>②投标人在提交保证金时，应按照随机获取的保证金子账号信息准确填写银行账单（投标保证金只能从投标人的银行基本户转出），投标人可通过登入系统查询保证金到账及退还情况。</w:t>
            </w:r>
          </w:p>
          <w:p>
            <w:pPr>
              <w:widowControl/>
              <w:spacing w:line="360" w:lineRule="auto"/>
              <w:jc w:val="left"/>
              <w:rPr>
                <w:rFonts w:ascii="宋体" w:hAnsi="宋体" w:cs="宋体"/>
              </w:rPr>
            </w:pPr>
            <w:r>
              <w:rPr>
                <w:rFonts w:hint="eastAsia" w:ascii="宋体" w:hAnsi="宋体" w:cs="宋体"/>
              </w:rPr>
              <w:t>（4）CA数字证书办理</w:t>
            </w:r>
          </w:p>
          <w:p>
            <w:pPr>
              <w:widowControl/>
              <w:spacing w:line="360" w:lineRule="auto"/>
              <w:jc w:val="left"/>
              <w:rPr>
                <w:rFonts w:ascii="宋体" w:hAnsi="宋体" w:cs="宋体"/>
              </w:rPr>
            </w:pPr>
            <w:r>
              <w:rPr>
                <w:rFonts w:hint="eastAsia" w:ascii="宋体" w:hAnsi="宋体" w:cs="宋体"/>
              </w:rPr>
              <w:t>岳阳市公共资源交易中心（岳阳市民兴路与狮子山南路交叉口西南角丘山大厦）电话：0730-8181828。</w:t>
            </w:r>
          </w:p>
          <w:p>
            <w:pPr>
              <w:numPr>
                <w:ilvl w:val="0"/>
                <w:numId w:val="2"/>
              </w:numPr>
              <w:spacing w:line="360" w:lineRule="auto"/>
              <w:rPr>
                <w:rFonts w:ascii="宋体" w:hAnsi="宋体" w:cs="宋体"/>
                <w:szCs w:val="21"/>
              </w:rPr>
            </w:pPr>
            <w:r>
              <w:rPr>
                <w:rFonts w:hint="eastAsia" w:ascii="宋体" w:hAnsi="宋体" w:cs="宋体"/>
                <w:szCs w:val="21"/>
              </w:rPr>
              <w:t>缴纳保证金的投标单位有下列情形之一的，投标保证金将不予退还</w:t>
            </w:r>
            <w:r>
              <w:rPr>
                <w:rFonts w:ascii="宋体" w:hAnsi="宋体" w:cs="宋体"/>
                <w:szCs w:val="21"/>
              </w:rPr>
              <w:t>:</w:t>
            </w:r>
            <w:r>
              <w:rPr>
                <w:rFonts w:ascii="宋体" w:hAnsi="宋体" w:cs="宋体"/>
                <w:szCs w:val="21"/>
              </w:rPr>
              <w:br w:type="textWrapping"/>
            </w:r>
            <w:r>
              <w:rPr>
                <w:rFonts w:hint="eastAsia" w:ascii="宋体" w:hAnsi="宋体" w:cs="宋体"/>
                <w:szCs w:val="21"/>
              </w:rPr>
              <w:t>① 在采购文件要求提交投标文件的截止时间后至投标有效期满前撤回投标文件的；</w:t>
            </w:r>
            <w:r>
              <w:rPr>
                <w:rFonts w:ascii="宋体" w:cs="宋体"/>
                <w:szCs w:val="21"/>
              </w:rPr>
              <w:br w:type="textWrapping"/>
            </w:r>
            <w:r>
              <w:rPr>
                <w:rFonts w:hint="eastAsia" w:ascii="宋体" w:cs="宋体"/>
                <w:szCs w:val="21"/>
              </w:rPr>
              <w:t xml:space="preserve">② </w:t>
            </w:r>
            <w:r>
              <w:rPr>
                <w:rFonts w:hint="eastAsia" w:ascii="宋体" w:hAnsi="宋体" w:cs="宋体"/>
                <w:szCs w:val="21"/>
              </w:rPr>
              <w:t>与采购人、其他投标单位串通投标的；</w:t>
            </w:r>
            <w:r>
              <w:rPr>
                <w:rFonts w:ascii="宋体" w:cs="宋体"/>
                <w:szCs w:val="21"/>
              </w:rPr>
              <w:br w:type="textWrapping"/>
            </w:r>
            <w:r>
              <w:rPr>
                <w:rFonts w:hint="eastAsia" w:ascii="宋体" w:cs="宋体"/>
                <w:szCs w:val="21"/>
              </w:rPr>
              <w:t xml:space="preserve">③ </w:t>
            </w:r>
            <w:r>
              <w:rPr>
                <w:rFonts w:hint="eastAsia" w:ascii="宋体" w:hAnsi="宋体" w:cs="宋体"/>
                <w:szCs w:val="21"/>
              </w:rPr>
              <w:t>提供虚假资料谋取中标的；</w:t>
            </w:r>
          </w:p>
          <w:p>
            <w:pPr>
              <w:spacing w:line="360" w:lineRule="auto"/>
              <w:rPr>
                <w:rFonts w:ascii="宋体" w:cs="宋体"/>
                <w:szCs w:val="21"/>
              </w:rPr>
            </w:pPr>
            <w:r>
              <w:rPr>
                <w:rFonts w:hint="eastAsia" w:ascii="宋体" w:cs="宋体"/>
                <w:szCs w:val="21"/>
              </w:rPr>
              <w:t xml:space="preserve">④ </w:t>
            </w:r>
            <w:r>
              <w:rPr>
                <w:rFonts w:hint="eastAsia" w:ascii="宋体" w:hAnsi="宋体" w:cs="宋体"/>
                <w:szCs w:val="21"/>
              </w:rPr>
              <w:t>在收到中标结果通知书后，不按规定时间或拒绝签订政府采购合同的：</w:t>
            </w:r>
            <w:r>
              <w:rPr>
                <w:rFonts w:ascii="宋体" w:cs="宋体"/>
                <w:szCs w:val="21"/>
              </w:rPr>
              <w:br w:type="textWrapping"/>
            </w:r>
            <w:r>
              <w:rPr>
                <w:rFonts w:hint="eastAsia" w:ascii="宋体" w:cs="宋体"/>
                <w:szCs w:val="21"/>
              </w:rPr>
              <w:t xml:space="preserve">⑤ </w:t>
            </w:r>
            <w:r>
              <w:rPr>
                <w:rFonts w:hint="eastAsia" w:ascii="宋体" w:hAnsi="宋体" w:cs="宋体"/>
                <w:szCs w:val="21"/>
              </w:rPr>
              <w:t>将中标项目违规转让给他人，或未在投标文件中说明，且未经采购人同意，将中标项目分包给他人的；</w:t>
            </w:r>
            <w:r>
              <w:rPr>
                <w:rFonts w:ascii="宋体" w:cs="宋体"/>
                <w:szCs w:val="21"/>
              </w:rPr>
              <w:br w:type="textWrapping"/>
            </w:r>
            <w:r>
              <w:rPr>
                <w:rFonts w:hint="eastAsia" w:ascii="宋体" w:cs="宋体"/>
                <w:szCs w:val="21"/>
              </w:rPr>
              <w:t>⑥ 拒绝履行合同义务的；</w:t>
            </w:r>
          </w:p>
          <w:p>
            <w:pPr>
              <w:spacing w:line="360" w:lineRule="auto"/>
              <w:rPr>
                <w:rFonts w:ascii="宋体" w:hAnsi="宋体" w:cs="宋体"/>
              </w:rPr>
            </w:pPr>
            <w:r>
              <w:rPr>
                <w:rFonts w:hint="eastAsia" w:ascii="宋体" w:cs="宋体"/>
                <w:szCs w:val="21"/>
              </w:rPr>
              <w:t>⑦ 不按时缴纳履约保证金的；</w:t>
            </w:r>
            <w:r>
              <w:rPr>
                <w:rFonts w:hint="eastAsia" w:ascii="宋体" w:cs="宋体"/>
                <w:szCs w:val="21"/>
              </w:rPr>
              <w:br w:type="textWrapping"/>
            </w:r>
            <w:r>
              <w:rPr>
                <w:rFonts w:hint="eastAsia" w:ascii="宋体" w:cs="宋体"/>
                <w:szCs w:val="21"/>
              </w:rPr>
              <w:t>⑧ 法律法规规定的其他情形。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25"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第一章第21.1</w:t>
            </w:r>
            <w:r>
              <w:rPr>
                <w:rFonts w:hint="eastAsia" w:ascii="宋体" w:hAnsi="宋体" w:cs="宋体"/>
                <w:kern w:val="0"/>
                <w:szCs w:val="21"/>
                <w:lang w:val="zh-CN"/>
              </w:rPr>
              <w:t>款</w:t>
            </w:r>
          </w:p>
        </w:tc>
        <w:tc>
          <w:tcPr>
            <w:tcW w:w="2278" w:type="dxa"/>
            <w:vAlign w:val="center"/>
          </w:tcPr>
          <w:p>
            <w:pPr>
              <w:adjustRightInd w:val="0"/>
              <w:snapToGrid w:val="0"/>
              <w:spacing w:beforeLines="50" w:line="300" w:lineRule="auto"/>
              <w:jc w:val="center"/>
              <w:rPr>
                <w:rFonts w:ascii="宋体" w:hAnsi="宋体" w:cs="宋体"/>
                <w:bCs/>
                <w:szCs w:val="21"/>
              </w:rPr>
            </w:pPr>
            <w:r>
              <w:rPr>
                <w:rFonts w:hint="eastAsia" w:ascii="宋体" w:hAnsi="宋体" w:cs="宋体"/>
                <w:bCs/>
                <w:szCs w:val="21"/>
              </w:rPr>
              <w:t>投标有效期</w:t>
            </w:r>
          </w:p>
        </w:tc>
        <w:tc>
          <w:tcPr>
            <w:tcW w:w="4914" w:type="dxa"/>
            <w:gridSpan w:val="3"/>
            <w:vAlign w:val="center"/>
          </w:tcPr>
          <w:p>
            <w:pPr>
              <w:adjustRightInd w:val="0"/>
              <w:snapToGrid w:val="0"/>
              <w:spacing w:beforeLines="50" w:line="300" w:lineRule="auto"/>
              <w:rPr>
                <w:rFonts w:ascii="宋体" w:hAnsi="宋体" w:cs="宋体"/>
                <w:bCs/>
                <w:szCs w:val="21"/>
              </w:rPr>
            </w:pPr>
            <w:r>
              <w:rPr>
                <w:rFonts w:hint="eastAsia" w:ascii="宋体" w:hAnsi="宋体" w:cs="宋体"/>
                <w:szCs w:val="21"/>
                <w:u w:val="single"/>
              </w:rPr>
              <w:t>90</w:t>
            </w:r>
            <w:r>
              <w:rPr>
                <w:rFonts w:hint="eastAsia" w:ascii="宋体" w:hAnsi="宋体" w:cs="宋体"/>
                <w:szCs w:val="21"/>
              </w:rPr>
              <w:t>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69"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第一章第22.1</w:t>
            </w:r>
            <w:r>
              <w:rPr>
                <w:rFonts w:hint="eastAsia" w:ascii="宋体" w:hAnsi="宋体" w:cs="宋体"/>
                <w:kern w:val="0"/>
                <w:szCs w:val="21"/>
                <w:lang w:val="zh-CN"/>
              </w:rPr>
              <w:t>款</w:t>
            </w:r>
          </w:p>
        </w:tc>
        <w:tc>
          <w:tcPr>
            <w:tcW w:w="2278"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投标文件副本份数</w:t>
            </w:r>
          </w:p>
        </w:tc>
        <w:tc>
          <w:tcPr>
            <w:tcW w:w="4914" w:type="dxa"/>
            <w:gridSpan w:val="3"/>
            <w:vAlign w:val="center"/>
          </w:tcPr>
          <w:p>
            <w:pPr>
              <w:adjustRightInd w:val="0"/>
              <w:snapToGrid w:val="0"/>
              <w:spacing w:beforeLines="50" w:line="480" w:lineRule="auto"/>
              <w:rPr>
                <w:rFonts w:ascii="宋体" w:hAnsi="宋体" w:cs="宋体"/>
                <w:szCs w:val="21"/>
              </w:rPr>
            </w:pPr>
            <w:r>
              <w:rPr>
                <w:rFonts w:hint="eastAsia" w:ascii="宋体" w:hAnsi="宋体" w:cs="宋体"/>
                <w:szCs w:val="21"/>
              </w:rPr>
              <w:t>伍份，壹正肆副</w:t>
            </w:r>
            <w:r>
              <w:rPr>
                <w:rFonts w:hint="eastAsia" w:ascii="宋体" w:hAnsi="宋体"/>
                <w:szCs w:val="21"/>
              </w:rPr>
              <w:t>、电子版一份（U盘）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b/>
                <w:bCs/>
                <w:szCs w:val="21"/>
              </w:rPr>
            </w:pPr>
            <w:r>
              <w:rPr>
                <w:rFonts w:hint="eastAsia" w:ascii="宋体" w:hAnsi="宋体" w:cs="宋体"/>
                <w:b/>
                <w:szCs w:val="21"/>
              </w:rPr>
              <w:t>四、投标文件的递交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583"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第一章第23.2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封套上应载明的信息</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项目名称：</w:t>
            </w:r>
            <w:r>
              <w:rPr>
                <w:rFonts w:hint="eastAsia" w:ascii="宋体" w:hAnsi="宋体" w:cs="宋体"/>
                <w:szCs w:val="21"/>
                <w:u w:val="single"/>
              </w:rPr>
              <w:t xml:space="preserve"> 平江县贫困地区村文化活动室设备购置项目 </w:t>
            </w:r>
            <w:r>
              <w:rPr>
                <w:rFonts w:hint="eastAsia" w:ascii="宋体" w:hAnsi="宋体" w:cs="宋体"/>
                <w:szCs w:val="21"/>
              </w:rPr>
              <w:t>投标文件</w:t>
            </w:r>
          </w:p>
          <w:p>
            <w:pPr>
              <w:adjustRightInd w:val="0"/>
              <w:snapToGrid w:val="0"/>
              <w:spacing w:line="360" w:lineRule="auto"/>
              <w:rPr>
                <w:rFonts w:ascii="宋体" w:hAnsi="宋体" w:cs="宋体"/>
                <w:szCs w:val="21"/>
              </w:rPr>
            </w:pPr>
            <w:r>
              <w:rPr>
                <w:rFonts w:hint="eastAsia" w:ascii="宋体" w:hAnsi="宋体"/>
                <w:szCs w:val="21"/>
              </w:rPr>
              <w:t>投标文件：</w:t>
            </w:r>
            <w:r>
              <w:rPr>
                <w:rFonts w:hint="eastAsia" w:ascii="宋体" w:hAnsi="宋体"/>
                <w:b/>
                <w:bCs/>
                <w:szCs w:val="21"/>
                <w:u w:val="single"/>
              </w:rPr>
              <w:t xml:space="preserve"> 商务文件 或 技术文件 </w:t>
            </w:r>
          </w:p>
          <w:p>
            <w:pPr>
              <w:spacing w:line="360" w:lineRule="auto"/>
              <w:rPr>
                <w:rFonts w:ascii="宋体" w:hAnsi="宋体" w:cs="宋体"/>
              </w:rPr>
            </w:pPr>
            <w:r>
              <w:rPr>
                <w:rFonts w:hint="eastAsia" w:ascii="宋体" w:hAnsi="宋体" w:cs="宋体"/>
              </w:rPr>
              <w:t xml:space="preserve">政府采购编号:平财采计【2018】0938 </w:t>
            </w:r>
          </w:p>
          <w:p>
            <w:pPr>
              <w:spacing w:line="360" w:lineRule="auto"/>
              <w:rPr>
                <w:rFonts w:ascii="宋体" w:hAnsi="宋体" w:cs="宋体"/>
                <w:szCs w:val="21"/>
              </w:rPr>
            </w:pPr>
            <w:r>
              <w:rPr>
                <w:rFonts w:hint="eastAsia" w:ascii="宋体" w:hAnsi="宋体" w:cs="宋体"/>
              </w:rPr>
              <w:t xml:space="preserve">委托代理编号:HNXZ-2018-YY-XMZB-0032  </w:t>
            </w:r>
            <w:r>
              <w:rPr>
                <w:rFonts w:hint="eastAsia" w:ascii="宋体" w:hAnsi="宋体" w:cs="宋体"/>
                <w:u w:val="single"/>
              </w:rPr>
              <w:t xml:space="preserve">      </w:t>
            </w:r>
            <w:r>
              <w:rPr>
                <w:rFonts w:hint="eastAsia" w:ascii="宋体" w:hAnsi="宋体" w:cs="宋体"/>
                <w:szCs w:val="21"/>
                <w:u w:val="single"/>
              </w:rPr>
              <w:t xml:space="preserve">         </w:t>
            </w:r>
          </w:p>
          <w:p>
            <w:pPr>
              <w:adjustRightInd w:val="0"/>
              <w:snapToGrid w:val="0"/>
              <w:spacing w:beforeLines="50" w:line="360" w:lineRule="auto"/>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2019 </w:t>
            </w:r>
            <w:r>
              <w:rPr>
                <w:rFonts w:hint="eastAsia" w:ascii="宋体" w:hAnsi="宋体" w:cs="宋体"/>
                <w:szCs w:val="21"/>
              </w:rPr>
              <w:t>年</w:t>
            </w:r>
            <w:r>
              <w:rPr>
                <w:rFonts w:hint="eastAsia" w:ascii="宋体" w:hAnsi="宋体" w:cs="宋体"/>
                <w:szCs w:val="21"/>
                <w:u w:val="single"/>
              </w:rPr>
              <w:t xml:space="preserve"> 4 </w:t>
            </w:r>
            <w:r>
              <w:rPr>
                <w:rFonts w:hint="eastAsia" w:ascii="宋体" w:hAnsi="宋体" w:cs="宋体"/>
                <w:szCs w:val="21"/>
              </w:rPr>
              <w:t>月</w:t>
            </w:r>
            <w:r>
              <w:rPr>
                <w:rFonts w:hint="eastAsia" w:ascii="宋体" w:hAnsi="宋体" w:cs="宋体"/>
                <w:szCs w:val="21"/>
                <w:u w:val="single"/>
              </w:rPr>
              <w:t xml:space="preserve"> 29 </w:t>
            </w:r>
            <w:r>
              <w:rPr>
                <w:rFonts w:hint="eastAsia" w:ascii="宋体" w:hAnsi="宋体" w:cs="宋体"/>
                <w:szCs w:val="21"/>
              </w:rPr>
              <w:t>日</w:t>
            </w:r>
            <w:r>
              <w:rPr>
                <w:rFonts w:hint="eastAsia" w:ascii="宋体" w:hAnsi="宋体" w:cs="宋体"/>
                <w:szCs w:val="21"/>
                <w:u w:val="single"/>
              </w:rPr>
              <w:t xml:space="preserve"> 9 </w:t>
            </w:r>
            <w:r>
              <w:rPr>
                <w:rFonts w:hint="eastAsia" w:ascii="宋体" w:hAnsi="宋体" w:cs="宋体"/>
                <w:szCs w:val="21"/>
              </w:rPr>
              <w:t>时</w:t>
            </w:r>
            <w:r>
              <w:rPr>
                <w:rFonts w:hint="eastAsia" w:ascii="宋体" w:hAnsi="宋体" w:cs="宋体"/>
                <w:szCs w:val="21"/>
                <w:u w:val="single"/>
              </w:rPr>
              <w:t xml:space="preserve"> 00 </w:t>
            </w:r>
            <w:r>
              <w:rPr>
                <w:rFonts w:hint="eastAsia" w:ascii="宋体" w:hAnsi="宋体" w:cs="宋体"/>
                <w:szCs w:val="21"/>
              </w:rPr>
              <w:t xml:space="preserve">分之前不得启封 </w:t>
            </w:r>
          </w:p>
          <w:p>
            <w:pPr>
              <w:adjustRightInd w:val="0"/>
              <w:snapToGrid w:val="0"/>
              <w:spacing w:beforeLines="50" w:line="360" w:lineRule="auto"/>
              <w:rPr>
                <w:rFonts w:ascii="宋体" w:hAnsi="宋体" w:cs="宋体"/>
                <w:szCs w:val="21"/>
              </w:rPr>
            </w:pPr>
            <w:r>
              <w:rPr>
                <w:rFonts w:hint="eastAsia" w:ascii="宋体" w:hAnsi="宋体" w:cs="宋体"/>
                <w:szCs w:val="21"/>
              </w:rPr>
              <w:t xml:space="preserve">投标人名称： </w:t>
            </w:r>
            <w:r>
              <w:rPr>
                <w:rFonts w:hint="eastAsia" w:ascii="宋体" w:hAnsi="宋体" w:cs="宋体"/>
                <w:szCs w:val="21"/>
                <w:u w:val="single"/>
              </w:rPr>
              <w:t xml:space="preserve">                   </w:t>
            </w:r>
            <w:r>
              <w:rPr>
                <w:rFonts w:hint="eastAsia" w:ascii="宋体" w:hAnsi="宋体" w:cs="宋体"/>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2" w:hRule="atLeast"/>
        </w:trPr>
        <w:tc>
          <w:tcPr>
            <w:tcW w:w="2147" w:type="dxa"/>
            <w:vAlign w:val="center"/>
          </w:tcPr>
          <w:p>
            <w:pPr>
              <w:adjustRightInd w:val="0"/>
              <w:snapToGrid w:val="0"/>
              <w:spacing w:beforeLines="50" w:line="300" w:lineRule="auto"/>
              <w:jc w:val="center"/>
            </w:pP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szCs w:val="21"/>
              </w:rPr>
              <w:t>投标文件的密封</w:t>
            </w:r>
          </w:p>
        </w:tc>
        <w:tc>
          <w:tcPr>
            <w:tcW w:w="4893" w:type="dxa"/>
            <w:gridSpan w:val="2"/>
            <w:vAlign w:val="center"/>
          </w:tcPr>
          <w:p>
            <w:pPr>
              <w:spacing w:line="360" w:lineRule="auto"/>
              <w:ind w:right="-36" w:rightChars="-17"/>
              <w:rPr>
                <w:rFonts w:ascii="宋体" w:hAnsi="宋体" w:cs="宋体"/>
                <w:bCs/>
                <w:szCs w:val="21"/>
              </w:rPr>
            </w:pPr>
            <w:r>
              <w:rPr>
                <w:rFonts w:hint="eastAsia" w:ascii="宋体" w:hAnsi="宋体" w:cs="宋体"/>
                <w:bCs/>
                <w:szCs w:val="21"/>
              </w:rPr>
              <w:t>按照投标须知第15项规定的投标文件组成内容，投标文件应按以下要求装订：√不分册装订</w:t>
            </w:r>
          </w:p>
          <w:p>
            <w:pPr>
              <w:spacing w:line="360" w:lineRule="auto"/>
              <w:ind w:right="-36" w:rightChars="-17"/>
              <w:rPr>
                <w:rFonts w:ascii="宋体" w:hAnsi="宋体" w:cs="宋体"/>
                <w:bCs/>
                <w:szCs w:val="21"/>
              </w:rPr>
            </w:pPr>
            <w:r>
              <w:rPr>
                <w:rFonts w:hint="eastAsia" w:ascii="宋体" w:hAnsi="宋体" w:cs="宋体"/>
                <w:bCs/>
                <w:szCs w:val="21"/>
              </w:rPr>
              <w:t>1、投标文件（商务文件、技术文件装订在一起，如投标文件太厚可分册装订）采用</w:t>
            </w:r>
            <w:r>
              <w:rPr>
                <w:rFonts w:hint="eastAsia" w:ascii="宋体" w:hAnsi="宋体" w:cs="宋体"/>
                <w:bCs/>
                <w:szCs w:val="21"/>
                <w:u w:val="single"/>
              </w:rPr>
              <w:t xml:space="preserve">  胶装  </w:t>
            </w:r>
            <w:r>
              <w:rPr>
                <w:rFonts w:hint="eastAsia" w:ascii="宋体" w:hAnsi="宋体" w:cs="宋体"/>
                <w:bCs/>
                <w:szCs w:val="21"/>
              </w:rPr>
              <w:t>方式装订，装订应牢固、不易拆散和换页，不得采用活页装订，提倡双面打印。</w:t>
            </w:r>
          </w:p>
          <w:p>
            <w:pPr>
              <w:adjustRightInd w:val="0"/>
              <w:snapToGrid w:val="0"/>
              <w:spacing w:beforeLines="50" w:line="300" w:lineRule="auto"/>
              <w:rPr>
                <w:rFonts w:ascii="宋体" w:hAnsi="宋体" w:cs="宋体"/>
                <w:bCs/>
                <w:szCs w:val="21"/>
              </w:rPr>
            </w:pPr>
            <w:r>
              <w:rPr>
                <w:rFonts w:hint="eastAsia" w:ascii="宋体" w:hAnsi="宋体" w:cs="宋体"/>
                <w:bCs/>
                <w:szCs w:val="21"/>
              </w:rPr>
              <w:t>2、开标一览表须另单独密封一份,并在小密封袋上标明开标一览表字样,然后粘在投标文件正本密封袋外。3、电子文档单独密封，并在小密封袋上标明开标一览表及投标人名称等字样，然后密封于投标文件正本密封袋里。</w:t>
            </w:r>
          </w:p>
          <w:p>
            <w:pPr>
              <w:adjustRightInd w:val="0"/>
              <w:snapToGrid w:val="0"/>
              <w:spacing w:beforeLines="50" w:line="300" w:lineRule="auto"/>
              <w:rPr>
                <w:rFonts w:ascii="宋体" w:hAnsi="宋体" w:cs="宋体"/>
                <w:bCs/>
                <w:szCs w:val="21"/>
              </w:rPr>
            </w:pPr>
            <w:r>
              <w:rPr>
                <w:rFonts w:hint="eastAsia" w:ascii="宋体" w:hAnsi="宋体" w:cs="宋体"/>
                <w:bCs/>
                <w:szCs w:val="21"/>
              </w:rPr>
              <w:t>密封袋上均需按封套上应载明的信息进行填写，密封条封口上应加盖投标人公章骑缝章和授权代表签字。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44"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第一章第24.1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投标文件的递交地点</w:t>
            </w:r>
          </w:p>
        </w:tc>
        <w:tc>
          <w:tcPr>
            <w:tcW w:w="4893" w:type="dxa"/>
            <w:gridSpan w:val="2"/>
            <w:vAlign w:val="center"/>
          </w:tcPr>
          <w:p>
            <w:pPr>
              <w:spacing w:line="360" w:lineRule="auto"/>
              <w:rPr>
                <w:rFonts w:ascii="宋体" w:hAnsi="宋体" w:cs="宋体"/>
                <w:b/>
                <w:bCs/>
                <w:szCs w:val="21"/>
              </w:rPr>
            </w:pPr>
            <w:r>
              <w:rPr>
                <w:rFonts w:hint="eastAsia" w:ascii="宋体" w:hAnsi="宋体" w:cs="宋体"/>
                <w:szCs w:val="21"/>
              </w:rPr>
              <w:t>岳阳市公共资源交易中心（民兴路与狮子山南路交叉口西南角丘山大厦）开标厅，</w:t>
            </w:r>
            <w:r>
              <w:rPr>
                <w:rFonts w:hint="eastAsia" w:ascii="宋体" w:hAnsi="宋体"/>
              </w:rPr>
              <w:t>投标文件在开标大厅现场投递（开标室详见当天的电子屏），</w:t>
            </w:r>
            <w:r>
              <w:rPr>
                <w:rFonts w:ascii="宋体" w:hAnsi="宋体"/>
              </w:rPr>
              <w:t>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szCs w:val="21"/>
              </w:rPr>
            </w:pPr>
            <w:r>
              <w:rPr>
                <w:rFonts w:hint="eastAsia" w:ascii="宋体" w:hAnsi="宋体" w:cs="宋体"/>
                <w:b/>
                <w:bCs/>
                <w:szCs w:val="21"/>
              </w:rPr>
              <w:t>五、</w:t>
            </w:r>
            <w:r>
              <w:rPr>
                <w:rFonts w:hint="eastAsia" w:ascii="宋体" w:hAnsi="宋体" w:cs="宋体"/>
                <w:b/>
                <w:szCs w:val="21"/>
              </w:rPr>
              <w:t>开标和评标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第一章第27.2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其他唱标内容</w:t>
            </w:r>
          </w:p>
        </w:tc>
        <w:tc>
          <w:tcPr>
            <w:tcW w:w="4893" w:type="dxa"/>
            <w:gridSpan w:val="2"/>
            <w:vAlign w:val="center"/>
          </w:tcPr>
          <w:p>
            <w:pPr>
              <w:adjustRightInd w:val="0"/>
              <w:snapToGrid w:val="0"/>
              <w:spacing w:beforeLines="50" w:line="300" w:lineRule="auto"/>
              <w:rPr>
                <w:rFonts w:ascii="宋体" w:hAnsi="宋体" w:cs="宋体"/>
                <w:szCs w:val="21"/>
              </w:rPr>
            </w:pPr>
            <w:r>
              <w:rPr>
                <w:rFonts w:hint="eastAsia" w:ascii="宋体" w:hAnsi="宋体" w:cs="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szCs w:val="21"/>
              </w:rPr>
            </w:pPr>
            <w:r>
              <w:rPr>
                <w:rFonts w:hint="eastAsia" w:ascii="宋体" w:hAnsi="宋体" w:cs="宋体"/>
                <w:b/>
                <w:szCs w:val="21"/>
              </w:rPr>
              <w:t>六、合同签订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第一章第33.1</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highlight w:val="yellow"/>
              </w:rPr>
            </w:pPr>
            <w:r>
              <w:rPr>
                <w:rFonts w:hint="eastAsia" w:ascii="宋体" w:hAnsi="宋体" w:cs="宋体"/>
                <w:szCs w:val="21"/>
              </w:rPr>
              <w:t>履约担保</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eq \o\ac(</w:instrText>
            </w:r>
            <w:r>
              <w:rPr>
                <w:rFonts w:hint="eastAsia" w:ascii="仿宋" w:hAnsi="仿宋" w:eastAsia="仿宋" w:cs="仿宋"/>
                <w:position w:val="-2"/>
                <w:szCs w:val="21"/>
              </w:rPr>
              <w:instrText xml:space="preserve">□</w:instrText>
            </w:r>
            <w:r>
              <w:rPr>
                <w:rFonts w:hint="eastAsia" w:ascii="仿宋" w:hAnsi="仿宋" w:eastAsia="仿宋" w:cs="仿宋"/>
                <w:szCs w:val="21"/>
              </w:rPr>
              <w:instrText xml:space="preserve">,√)</w:instrText>
            </w:r>
            <w:r>
              <w:rPr>
                <w:rFonts w:hint="eastAsia" w:ascii="仿宋" w:hAnsi="仿宋" w:eastAsia="仿宋" w:cs="仿宋"/>
                <w:szCs w:val="21"/>
              </w:rPr>
              <w:fldChar w:fldCharType="end"/>
            </w:r>
            <w:r>
              <w:rPr>
                <w:rFonts w:hint="eastAsia" w:ascii="宋体" w:hAnsi="宋体" w:cs="宋体"/>
                <w:szCs w:val="21"/>
              </w:rPr>
              <w:t>不要求提供</w:t>
            </w:r>
          </w:p>
          <w:p>
            <w:pPr>
              <w:adjustRightInd w:val="0"/>
              <w:snapToGrid w:val="0"/>
              <w:spacing w:beforeLines="50" w:line="300" w:lineRule="auto"/>
              <w:rPr>
                <w:rFonts w:ascii="宋体" w:hAnsi="宋体" w:cs="宋体"/>
                <w:szCs w:val="21"/>
                <w:highlight w:val="yellow"/>
              </w:rPr>
            </w:pPr>
            <w:r>
              <w:rPr>
                <w:rFonts w:hint="eastAsia" w:ascii="宋体" w:hAnsi="宋体" w:cs="宋体"/>
                <w:szCs w:val="21"/>
              </w:rPr>
              <w:t>□要求提供</w:t>
            </w:r>
            <w:r>
              <w:rPr>
                <w:rFonts w:hint="eastAsia" w:ascii="宋体" w:hAnsi="宋体"/>
                <w:szCs w:val="21"/>
              </w:rPr>
              <w:t>，按中标总价的5%支付履约保证金</w:t>
            </w:r>
            <w:r>
              <w:rPr>
                <w:rFonts w:hint="eastAsia" w:ascii="宋体" w:hAnsi="宋体" w:cs="宋体"/>
                <w:szCs w:val="21"/>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adjustRightInd w:val="0"/>
              <w:snapToGrid w:val="0"/>
              <w:spacing w:beforeLines="50" w:line="300" w:lineRule="auto"/>
              <w:rPr>
                <w:rFonts w:ascii="宋体" w:hAnsi="宋体" w:cs="宋体"/>
                <w:b/>
                <w:szCs w:val="21"/>
              </w:rPr>
            </w:pPr>
            <w:r>
              <w:rPr>
                <w:rFonts w:hint="eastAsia" w:ascii="宋体" w:hAnsi="宋体" w:cs="宋体"/>
                <w:b/>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Merge w:val="restart"/>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第一章第38.1</w:t>
            </w:r>
            <w:r>
              <w:rPr>
                <w:rFonts w:hint="eastAsia" w:ascii="宋体" w:hAnsi="宋体" w:cs="宋体"/>
                <w:kern w:val="0"/>
                <w:szCs w:val="21"/>
                <w:lang w:val="zh-CN"/>
              </w:rPr>
              <w:t>款</w:t>
            </w:r>
          </w:p>
        </w:tc>
        <w:tc>
          <w:tcPr>
            <w:tcW w:w="2278"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rPr>
              <w:t>政府采购强制采购：</w:t>
            </w:r>
            <w:r>
              <w:rPr>
                <w:rFonts w:ascii="宋体" w:hAnsi="宋体" w:cs="宋体"/>
              </w:rPr>
              <w:t>(1)</w:t>
            </w:r>
            <w:r>
              <w:rPr>
                <w:rFonts w:hint="eastAsia" w:ascii="宋体" w:hAnsi="宋体" w:cs="宋体"/>
              </w:rPr>
              <w:t>标记★符号的节能产品；</w:t>
            </w:r>
            <w:r>
              <w:rPr>
                <w:rFonts w:ascii="宋体" w:hAnsi="宋体" w:cs="宋体"/>
              </w:rPr>
              <w:t>(2)</w:t>
            </w:r>
            <w:r>
              <w:rPr>
                <w:rFonts w:hint="eastAsia" w:ascii="宋体" w:hAnsi="宋体" w:cs="宋体"/>
              </w:rPr>
              <w:t>其他。</w:t>
            </w:r>
          </w:p>
        </w:tc>
        <w:tc>
          <w:tcPr>
            <w:tcW w:w="4914" w:type="dxa"/>
            <w:gridSpan w:val="3"/>
            <w:vAlign w:val="center"/>
          </w:tcPr>
          <w:p>
            <w:pPr>
              <w:rPr>
                <w:rFonts w:ascii="宋体" w:hAnsi="宋体"/>
              </w:rPr>
            </w:pPr>
            <w:r>
              <w:rPr>
                <w:rFonts w:hint="eastAsia" w:ascii="宋体" w:hAnsi="宋体"/>
              </w:rPr>
              <w:t>■ 否</w:t>
            </w:r>
          </w:p>
          <w:p>
            <w:pPr>
              <w:adjustRightInd w:val="0"/>
              <w:snapToGrid w:val="0"/>
              <w:spacing w:beforeLines="50" w:line="360" w:lineRule="auto"/>
              <w:rPr>
                <w:rFonts w:ascii="宋体" w:hAnsi="宋体" w:cs="宋体"/>
                <w:szCs w:val="21"/>
              </w:rPr>
            </w:pPr>
            <w:r>
              <w:rPr>
                <w:rFonts w:hint="eastAsia" w:ascii="宋体" w:hAnsi="宋体"/>
              </w:rPr>
              <w:t>□ 是，采购《节能产品政府采购清单》(第 24期) 内标记★符号的节能产品。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818" w:hRule="atLeast"/>
        </w:trPr>
        <w:tc>
          <w:tcPr>
            <w:tcW w:w="2147" w:type="dxa"/>
            <w:vMerge w:val="continue"/>
            <w:vAlign w:val="center"/>
          </w:tcPr>
          <w:p>
            <w:pPr>
              <w:adjustRightInd w:val="0"/>
              <w:snapToGrid w:val="0"/>
              <w:spacing w:beforeLines="50" w:line="360" w:lineRule="auto"/>
              <w:jc w:val="center"/>
              <w:rPr>
                <w:rFonts w:ascii="宋体" w:hAnsi="宋体" w:cs="宋体"/>
                <w:szCs w:val="21"/>
              </w:rPr>
            </w:pPr>
          </w:p>
        </w:tc>
        <w:tc>
          <w:tcPr>
            <w:tcW w:w="2278"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rPr>
              <w:t>政府采购优先采购：</w:t>
            </w:r>
            <w:r>
              <w:rPr>
                <w:rFonts w:ascii="宋体" w:hAnsi="宋体" w:cs="宋体"/>
              </w:rPr>
              <w:t>(1)</w:t>
            </w:r>
            <w:r>
              <w:rPr>
                <w:rFonts w:hint="eastAsia" w:ascii="宋体" w:hAnsi="宋体" w:cs="宋体"/>
              </w:rPr>
              <w:t>非标记★符号的节能产品；</w:t>
            </w:r>
            <w:r>
              <w:rPr>
                <w:rFonts w:ascii="宋体" w:hAnsi="宋体" w:cs="宋体"/>
              </w:rPr>
              <w:t>(2)</w:t>
            </w:r>
            <w:r>
              <w:rPr>
                <w:rFonts w:hint="eastAsia" w:ascii="宋体" w:hAnsi="宋体" w:cs="宋体"/>
              </w:rPr>
              <w:t>环境标志产品；</w:t>
            </w:r>
            <w:r>
              <w:rPr>
                <w:rFonts w:ascii="宋体" w:hAnsi="宋体" w:cs="宋体"/>
              </w:rPr>
              <w:t>(3)</w:t>
            </w:r>
            <w:r>
              <w:rPr>
                <w:rFonts w:hint="eastAsia" w:ascii="宋体" w:hAnsi="宋体" w:cs="宋体"/>
              </w:rPr>
              <w:t>两型产品；</w:t>
            </w:r>
            <w:r>
              <w:rPr>
                <w:rFonts w:ascii="宋体" w:hAnsi="宋体" w:cs="宋体"/>
              </w:rPr>
              <w:t>(4)</w:t>
            </w:r>
            <w:r>
              <w:rPr>
                <w:rFonts w:hint="eastAsia" w:ascii="宋体" w:hAnsi="宋体" w:cs="宋体"/>
              </w:rPr>
              <w:t>支持中小企业发展；</w:t>
            </w:r>
            <w:r>
              <w:rPr>
                <w:rFonts w:ascii="宋体" w:hAnsi="宋体" w:cs="宋体"/>
              </w:rPr>
              <w:t>(5)</w:t>
            </w:r>
            <w:r>
              <w:rPr>
                <w:rFonts w:hint="eastAsia" w:ascii="宋体" w:hAnsi="宋体" w:cs="宋体"/>
              </w:rPr>
              <w:t>其他。</w:t>
            </w:r>
          </w:p>
        </w:tc>
        <w:tc>
          <w:tcPr>
            <w:tcW w:w="4914" w:type="dxa"/>
            <w:gridSpan w:val="3"/>
            <w:vAlign w:val="center"/>
          </w:tcPr>
          <w:p>
            <w:pPr>
              <w:rPr>
                <w:rFonts w:ascii="宋体" w:hAnsi="宋体"/>
              </w:rPr>
            </w:pPr>
            <w:r>
              <w:rPr>
                <w:rFonts w:hint="eastAsia" w:ascii="宋体" w:hAnsi="宋体"/>
                <w:bCs/>
              </w:rPr>
              <w:t>1、</w:t>
            </w:r>
            <w:r>
              <w:rPr>
                <w:rFonts w:hint="eastAsia" w:ascii="宋体" w:hAnsi="宋体"/>
              </w:rPr>
              <w:t>■ 否</w:t>
            </w:r>
          </w:p>
          <w:p>
            <w:pPr>
              <w:spacing w:line="400" w:lineRule="exact"/>
              <w:ind w:firstLine="315" w:firstLineChars="150"/>
              <w:rPr>
                <w:rFonts w:ascii="宋体" w:hAnsi="宋体"/>
                <w:bCs/>
              </w:rPr>
            </w:pPr>
            <w:r>
              <w:rPr>
                <w:rFonts w:hint="eastAsia" w:ascii="宋体" w:hAnsi="宋体"/>
              </w:rPr>
              <w:t>□ 是，</w:t>
            </w:r>
            <w:r>
              <w:rPr>
                <w:rFonts w:hint="eastAsia" w:ascii="宋体" w:hAnsi="宋体"/>
                <w:bCs/>
              </w:rPr>
              <w:t>采购产品为《节能产品政府采购清单》(第二十四期)内非标记★符号的，给予5%-10%的价格扣除，本项目具体扣除比例为</w:t>
            </w:r>
            <w:r>
              <w:rPr>
                <w:rFonts w:hint="eastAsia" w:ascii="宋体" w:hAnsi="宋体"/>
                <w:bCs/>
                <w:u w:val="single"/>
              </w:rPr>
              <w:t>5%</w:t>
            </w:r>
            <w:r>
              <w:rPr>
                <w:rFonts w:hint="eastAsia" w:ascii="宋体" w:hAnsi="宋体"/>
                <w:bCs/>
              </w:rPr>
              <w:t>，按所投产品金额占总投标报价的比重同比折算（如所投产品金额占总投标报价的</w:t>
            </w:r>
            <w:r>
              <w:rPr>
                <w:rFonts w:hint="eastAsia" w:ascii="宋体" w:hAnsi="宋体"/>
                <w:bCs/>
                <w:u w:val="single"/>
              </w:rPr>
              <w:t>10%</w:t>
            </w:r>
            <w:r>
              <w:rPr>
                <w:rFonts w:hint="eastAsia" w:ascii="宋体" w:hAnsi="宋体"/>
                <w:bCs/>
              </w:rPr>
              <w:t>，则扣除比例为</w:t>
            </w:r>
            <w:r>
              <w:rPr>
                <w:rFonts w:hint="eastAsia" w:ascii="宋体" w:hAnsi="宋体"/>
                <w:bCs/>
                <w:u w:val="single"/>
              </w:rPr>
              <w:t>0.5%</w:t>
            </w:r>
            <w:r>
              <w:rPr>
                <w:rFonts w:hint="eastAsia" w:ascii="宋体" w:hAnsi="宋体"/>
                <w:bCs/>
              </w:rPr>
              <w:t>）。</w:t>
            </w:r>
          </w:p>
          <w:p>
            <w:pPr>
              <w:spacing w:line="400" w:lineRule="exact"/>
              <w:rPr>
                <w:rFonts w:ascii="宋体" w:hAnsi="宋体"/>
                <w:bCs/>
              </w:rPr>
            </w:pPr>
            <w:r>
              <w:rPr>
                <w:rFonts w:hint="eastAsia" w:ascii="宋体" w:hAnsi="宋体"/>
                <w:b/>
                <w:bCs/>
              </w:rPr>
              <w:t>投标人应在投标文件中提供上述期数《节能产品政府采购清单》，显著标注出清单中所投产品，并将该部分产品单独列表且计算该部分产品占总投标报价的比重，否则本项不予价格扣除。</w:t>
            </w:r>
            <w:r>
              <w:rPr>
                <w:rFonts w:hint="eastAsia" w:ascii="宋体" w:hAnsi="宋体"/>
                <w:bCs/>
              </w:rPr>
              <w:t>。</w:t>
            </w:r>
          </w:p>
          <w:p>
            <w:pPr>
              <w:rPr>
                <w:rFonts w:ascii="宋体" w:hAnsi="宋体"/>
              </w:rPr>
            </w:pPr>
            <w:r>
              <w:rPr>
                <w:rFonts w:hint="eastAsia" w:ascii="宋体" w:hAnsi="宋体"/>
                <w:bCs/>
              </w:rPr>
              <w:t>2、</w:t>
            </w:r>
            <w:r>
              <w:rPr>
                <w:rFonts w:hint="eastAsia" w:ascii="宋体" w:hAnsi="宋体"/>
              </w:rPr>
              <w:t>■ 否</w:t>
            </w:r>
          </w:p>
          <w:p>
            <w:pPr>
              <w:spacing w:line="400" w:lineRule="exact"/>
              <w:ind w:firstLine="315" w:firstLineChars="150"/>
              <w:rPr>
                <w:rFonts w:ascii="宋体" w:hAnsi="宋体"/>
                <w:bCs/>
              </w:rPr>
            </w:pPr>
            <w:r>
              <w:rPr>
                <w:rFonts w:hint="eastAsia" w:ascii="宋体" w:hAnsi="宋体"/>
              </w:rPr>
              <w:t>□ 是，</w:t>
            </w:r>
            <w:r>
              <w:rPr>
                <w:rFonts w:hint="eastAsia" w:ascii="宋体" w:hAnsi="宋体"/>
                <w:bCs/>
              </w:rPr>
              <w:t>采购产品为《环境标志产品政府采购清单》(第 二十二期)内的，给予5%-10%的价格扣除，本项目具体扣除比例为</w:t>
            </w:r>
            <w:r>
              <w:rPr>
                <w:rFonts w:hint="eastAsia" w:ascii="宋体" w:hAnsi="宋体"/>
                <w:bCs/>
                <w:u w:val="single"/>
              </w:rPr>
              <w:t>5%</w:t>
            </w:r>
            <w:r>
              <w:rPr>
                <w:rFonts w:hint="eastAsia" w:ascii="宋体" w:hAnsi="宋体"/>
                <w:bCs/>
              </w:rPr>
              <w:t>，按所投产品金额占总投标报价的比重同比折算（如所投产品金额占总投标报价的</w:t>
            </w:r>
            <w:r>
              <w:rPr>
                <w:rFonts w:hint="eastAsia" w:ascii="宋体" w:hAnsi="宋体"/>
                <w:bCs/>
                <w:u w:val="single"/>
              </w:rPr>
              <w:t>10%</w:t>
            </w:r>
            <w:r>
              <w:rPr>
                <w:rFonts w:hint="eastAsia" w:ascii="宋体" w:hAnsi="宋体"/>
                <w:bCs/>
              </w:rPr>
              <w:t>，则扣除比例为</w:t>
            </w:r>
            <w:r>
              <w:rPr>
                <w:rFonts w:hint="eastAsia" w:ascii="宋体" w:hAnsi="宋体"/>
                <w:bCs/>
                <w:u w:val="single"/>
              </w:rPr>
              <w:t>0.5%</w:t>
            </w:r>
            <w:r>
              <w:rPr>
                <w:rFonts w:hint="eastAsia" w:ascii="宋体" w:hAnsi="宋体"/>
                <w:bCs/>
              </w:rPr>
              <w:t>）。</w:t>
            </w:r>
          </w:p>
          <w:p>
            <w:pPr>
              <w:spacing w:line="400" w:lineRule="exact"/>
              <w:rPr>
                <w:rFonts w:ascii="宋体" w:hAnsi="宋体"/>
                <w:bCs/>
              </w:rPr>
            </w:pPr>
            <w:r>
              <w:rPr>
                <w:rFonts w:hint="eastAsia" w:ascii="宋体" w:hAnsi="宋体"/>
                <w:b/>
                <w:bCs/>
              </w:rPr>
              <w:t>投标人应在投标文件中提供上述期数《环境标志产品政府采购清单》，显著标注出清单中所投产品，并将该部分产品单独列表且计算该部分产品占总投标报价的比重，否则本项不予价格扣除。</w:t>
            </w:r>
          </w:p>
          <w:p>
            <w:pPr>
              <w:rPr>
                <w:rFonts w:ascii="宋体" w:hAnsi="宋体"/>
              </w:rPr>
            </w:pPr>
            <w:r>
              <w:rPr>
                <w:rFonts w:hint="eastAsia" w:ascii="宋体" w:hAnsi="宋体"/>
                <w:bCs/>
              </w:rPr>
              <w:t>3、</w:t>
            </w:r>
            <w:r>
              <w:rPr>
                <w:rFonts w:hint="eastAsia" w:ascii="宋体" w:hAnsi="宋体"/>
              </w:rPr>
              <w:t>■ 否</w:t>
            </w:r>
          </w:p>
          <w:p>
            <w:pPr>
              <w:spacing w:line="400" w:lineRule="exact"/>
              <w:ind w:firstLine="315" w:firstLineChars="150"/>
              <w:rPr>
                <w:rFonts w:ascii="宋体" w:hAnsi="宋体"/>
                <w:bCs/>
              </w:rPr>
            </w:pPr>
            <w:r>
              <w:rPr>
                <w:rFonts w:hint="eastAsia" w:ascii="宋体" w:hAnsi="宋体"/>
              </w:rPr>
              <w:t>□ 是，</w:t>
            </w:r>
            <w:r>
              <w:rPr>
                <w:rFonts w:hint="eastAsia" w:ascii="宋体" w:hAnsi="宋体"/>
                <w:bCs/>
              </w:rPr>
              <w:t>采购产品为《湖南省政府采购两型产品目录》（第五批）内的：给予5%-10%的价格扣除，本项目具体扣除比例为</w:t>
            </w:r>
            <w:r>
              <w:rPr>
                <w:rFonts w:hint="eastAsia" w:ascii="宋体" w:hAnsi="宋体"/>
                <w:bCs/>
                <w:u w:val="single"/>
              </w:rPr>
              <w:t>5%</w:t>
            </w:r>
            <w:r>
              <w:rPr>
                <w:rFonts w:hint="eastAsia" w:ascii="宋体" w:hAnsi="宋体"/>
                <w:bCs/>
              </w:rPr>
              <w:t>，按所投产品金额占总投标报价的比重同比折算（如所投产品金额占总投标报价的</w:t>
            </w:r>
            <w:r>
              <w:rPr>
                <w:rFonts w:hint="eastAsia" w:ascii="宋体" w:hAnsi="宋体"/>
                <w:bCs/>
                <w:u w:val="single"/>
              </w:rPr>
              <w:t>10%</w:t>
            </w:r>
            <w:r>
              <w:rPr>
                <w:rFonts w:hint="eastAsia" w:ascii="宋体" w:hAnsi="宋体"/>
                <w:bCs/>
              </w:rPr>
              <w:t>，则扣除比例为</w:t>
            </w:r>
            <w:r>
              <w:rPr>
                <w:rFonts w:hint="eastAsia" w:ascii="宋体" w:hAnsi="宋体"/>
                <w:bCs/>
                <w:u w:val="single"/>
              </w:rPr>
              <w:t>0.5%</w:t>
            </w:r>
            <w:r>
              <w:rPr>
                <w:rFonts w:hint="eastAsia" w:ascii="宋体" w:hAnsi="宋体"/>
                <w:bCs/>
              </w:rPr>
              <w:t>）。</w:t>
            </w:r>
          </w:p>
          <w:p>
            <w:pPr>
              <w:spacing w:line="400" w:lineRule="exact"/>
              <w:rPr>
                <w:rFonts w:ascii="宋体" w:hAnsi="宋体"/>
                <w:bCs/>
              </w:rPr>
            </w:pPr>
            <w:r>
              <w:rPr>
                <w:rFonts w:hint="eastAsia" w:ascii="宋体" w:hAnsi="宋体"/>
                <w:b/>
                <w:bCs/>
              </w:rPr>
              <w:t>投标人应在投标文件中提供上述批次《湖南省政府采购两型产品目录》，显著标注出清单中所投产品，并将该部分产品单独列表且计算该部分产品占总投标报价的比重，否则本项不予价格扣除。</w:t>
            </w:r>
          </w:p>
          <w:p>
            <w:pPr>
              <w:rPr>
                <w:rFonts w:ascii="宋体" w:hAnsi="宋体"/>
              </w:rPr>
            </w:pPr>
            <w:r>
              <w:rPr>
                <w:rFonts w:hint="eastAsia" w:ascii="宋体" w:hAnsi="宋体"/>
                <w:bCs/>
              </w:rPr>
              <w:t>4、</w:t>
            </w:r>
            <w:r>
              <w:rPr>
                <w:rFonts w:hint="eastAsia" w:ascii="宋体" w:hAnsi="宋体"/>
              </w:rPr>
              <w:t xml:space="preserve">■ </w:t>
            </w:r>
            <w:r>
              <w:rPr>
                <w:rFonts w:hint="eastAsia" w:ascii="宋体" w:hAnsi="宋体"/>
                <w:bCs/>
              </w:rPr>
              <w:t>专门面向中小企业采购</w:t>
            </w:r>
          </w:p>
          <w:p>
            <w:pPr>
              <w:spacing w:line="400" w:lineRule="exact"/>
              <w:ind w:firstLine="315" w:firstLineChars="150"/>
              <w:rPr>
                <w:rFonts w:ascii="宋体" w:hAnsi="宋体"/>
                <w:bCs/>
              </w:rPr>
            </w:pPr>
            <w:r>
              <w:rPr>
                <w:rFonts w:hint="eastAsia" w:ascii="宋体" w:hAnsi="宋体"/>
              </w:rPr>
              <w:t xml:space="preserve">□ </w:t>
            </w:r>
            <w:r>
              <w:rPr>
                <w:rFonts w:hint="eastAsia" w:ascii="宋体" w:hAnsi="宋体"/>
                <w:bCs/>
              </w:rPr>
              <w:t>非专门面向中小企业采购，且符合政府采购促进中小企业发展相关规定的：</w:t>
            </w:r>
          </w:p>
          <w:p>
            <w:pPr>
              <w:spacing w:line="400" w:lineRule="exact"/>
              <w:rPr>
                <w:rFonts w:ascii="宋体" w:hAnsi="宋体"/>
                <w:bCs/>
              </w:rPr>
            </w:pPr>
            <w:r>
              <w:rPr>
                <w:rFonts w:hint="eastAsia" w:ascii="宋体" w:hAnsi="宋体"/>
                <w:bCs/>
              </w:rPr>
              <w:t>（1）给予小型和微型企业产品的价格给予6%-10%的扣除，用扣除后的价格参与评审，本项目具体扣除比例为</w:t>
            </w:r>
            <w:r>
              <w:rPr>
                <w:rFonts w:hint="eastAsia" w:ascii="宋体" w:hAnsi="宋体"/>
                <w:bCs/>
                <w:u w:val="single"/>
              </w:rPr>
              <w:t>6％</w:t>
            </w:r>
            <w:r>
              <w:rPr>
                <w:rFonts w:hint="eastAsia" w:ascii="宋体" w:hAnsi="宋体"/>
                <w:bCs/>
              </w:rPr>
              <w:t>。</w:t>
            </w:r>
          </w:p>
          <w:p>
            <w:pPr>
              <w:spacing w:line="400" w:lineRule="exact"/>
              <w:rPr>
                <w:rFonts w:ascii="宋体" w:hAnsi="宋体"/>
                <w:bCs/>
              </w:rPr>
            </w:pPr>
            <w:r>
              <w:rPr>
                <w:rFonts w:hint="eastAsia" w:ascii="宋体" w:hAnsi="宋体"/>
                <w:bCs/>
              </w:rPr>
              <w:t>（2）给予联合体2%-3%的价格扣除，用扣除后的价格参与评审，本项目具体扣除比例为</w:t>
            </w:r>
            <w:r>
              <w:rPr>
                <w:rFonts w:hint="eastAsia" w:ascii="宋体" w:hAnsi="宋体"/>
                <w:bCs/>
                <w:u w:val="single"/>
              </w:rPr>
              <w:t>/%</w:t>
            </w:r>
            <w:r>
              <w:rPr>
                <w:rFonts w:hint="eastAsia" w:ascii="宋体" w:hAnsi="宋体"/>
                <w:bCs/>
              </w:rPr>
              <w:t>。</w:t>
            </w:r>
          </w:p>
          <w:p>
            <w:pPr>
              <w:spacing w:line="400" w:lineRule="exact"/>
              <w:rPr>
                <w:rFonts w:ascii="宋体" w:hAnsi="宋体"/>
                <w:bCs/>
              </w:rPr>
            </w:pPr>
            <w:r>
              <w:rPr>
                <w:rFonts w:hint="eastAsia" w:ascii="宋体" w:hAnsi="宋体"/>
                <w:bCs/>
              </w:rPr>
              <w:t>（3）给予中型企业产品的价格给予3%-5%的扣除，用扣除后的价格参与评审，本项目具体扣除比例为</w:t>
            </w:r>
            <w:r>
              <w:rPr>
                <w:rFonts w:hint="eastAsia" w:ascii="宋体" w:hAnsi="宋体"/>
                <w:bCs/>
                <w:u w:val="single"/>
              </w:rPr>
              <w:t>3%</w:t>
            </w:r>
            <w:r>
              <w:rPr>
                <w:rFonts w:hint="eastAsia" w:ascii="宋体" w:hAnsi="宋体"/>
                <w:bCs/>
              </w:rPr>
              <w:t>。</w:t>
            </w:r>
          </w:p>
          <w:p>
            <w:pPr>
              <w:spacing w:line="400" w:lineRule="exact"/>
              <w:rPr>
                <w:rFonts w:ascii="宋体" w:hAnsi="宋体"/>
                <w:b/>
                <w:bCs/>
              </w:rPr>
            </w:pPr>
            <w:r>
              <w:rPr>
                <w:rFonts w:hint="eastAsia" w:ascii="宋体" w:hAnsi="宋体"/>
                <w:b/>
                <w:bCs/>
              </w:rPr>
              <w:t>说明：中小企业（含中型、小型、微型企业，下同）应当同时符合以下条件：</w:t>
            </w:r>
          </w:p>
          <w:p>
            <w:pPr>
              <w:spacing w:line="400" w:lineRule="exact"/>
              <w:rPr>
                <w:rFonts w:ascii="宋体" w:hAnsi="宋体"/>
                <w:b/>
                <w:bCs/>
              </w:rPr>
            </w:pPr>
            <w:r>
              <w:rPr>
                <w:rFonts w:hint="eastAsia" w:ascii="宋体" w:hAnsi="宋体"/>
                <w:b/>
                <w:bCs/>
              </w:rPr>
              <w:t>①符合中小企业划分标准；</w:t>
            </w:r>
          </w:p>
          <w:p>
            <w:pPr>
              <w:spacing w:line="400" w:lineRule="exact"/>
              <w:rPr>
                <w:rFonts w:ascii="宋体" w:hAnsi="宋体"/>
                <w:b/>
                <w:bCs/>
              </w:rPr>
            </w:pPr>
            <w:r>
              <w:rPr>
                <w:rFonts w:hint="eastAsia" w:ascii="宋体" w:hAnsi="宋体"/>
                <w:b/>
                <w:bCs/>
              </w:rPr>
              <w:t>②填写《中小企业声明函》并附行政主管部门出具的中型或小型或微型企业证明资料复印件，原件核查。</w:t>
            </w:r>
          </w:p>
          <w:p>
            <w:pPr>
              <w:spacing w:line="400" w:lineRule="exact"/>
              <w:rPr>
                <w:rFonts w:ascii="宋体" w:hAnsi="宋体"/>
                <w:b/>
                <w:bCs/>
              </w:rPr>
            </w:pPr>
            <w:r>
              <w:rPr>
                <w:rFonts w:hint="eastAsia" w:ascii="宋体" w:hAnsi="宋体"/>
                <w:b/>
                <w:bCs/>
              </w:rPr>
              <w:t>③提供本企业制造的货物、承担的工程或者服务，或者提供其他中小企业制造的货物。本项所称货物不包括使用大型企业注册商标的货物。</w:t>
            </w:r>
          </w:p>
          <w:p>
            <w:pPr>
              <w:spacing w:line="400" w:lineRule="exact"/>
              <w:rPr>
                <w:rFonts w:ascii="宋体" w:hAnsi="宋体"/>
              </w:rPr>
            </w:pPr>
            <w:r>
              <w:rPr>
                <w:rFonts w:hint="eastAsia" w:ascii="宋体" w:hAnsi="宋体"/>
              </w:rPr>
              <w:t>5、(1)在政府采购活动中，监狱及残疾人福利性单位，两者视同小型、微型企业，评审中价格扣除参照政府采购支持中小企业发展中给予小型、微型企业扣除比例标准（残疾人福利性单位属于小型、微型企业的，不重复享受政策）。</w:t>
            </w:r>
          </w:p>
          <w:p>
            <w:pPr>
              <w:adjustRightInd w:val="0"/>
              <w:snapToGrid w:val="0"/>
              <w:spacing w:beforeLines="50" w:line="360" w:lineRule="auto"/>
              <w:rPr>
                <w:rFonts w:ascii="宋体" w:hAnsi="宋体" w:cs="宋体"/>
                <w:szCs w:val="21"/>
                <w:u w:val="single"/>
              </w:rPr>
            </w:pPr>
            <w:r>
              <w:rPr>
                <w:rFonts w:hint="eastAsia" w:ascii="宋体" w:hAnsi="宋体"/>
                <w:bCs/>
              </w:rPr>
              <w:t>6、供应商享受支持中小企业发展政策优惠的，可以与同时享受节能产品、环境标志产品、两型产品等产品优惠中的一项累加扣除。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76" w:hRule="atLeast"/>
        </w:trPr>
        <w:tc>
          <w:tcPr>
            <w:tcW w:w="2147" w:type="dxa"/>
            <w:vAlign w:val="center"/>
          </w:tcPr>
          <w:p>
            <w:pPr>
              <w:adjustRightInd w:val="0"/>
              <w:snapToGrid w:val="0"/>
              <w:spacing w:beforeLines="50" w:line="300" w:lineRule="auto"/>
              <w:jc w:val="center"/>
              <w:rPr>
                <w:rFonts w:ascii="宋体" w:hAnsi="宋体" w:cs="宋体"/>
                <w:szCs w:val="21"/>
              </w:rPr>
            </w:pPr>
          </w:p>
        </w:tc>
        <w:tc>
          <w:tcPr>
            <w:tcW w:w="2278"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bCs/>
                <w:kern w:val="0"/>
                <w:szCs w:val="21"/>
              </w:rPr>
              <w:t>政府采购支持中小企业融资</w:t>
            </w:r>
          </w:p>
        </w:tc>
        <w:tc>
          <w:tcPr>
            <w:tcW w:w="4914" w:type="dxa"/>
            <w:gridSpan w:val="3"/>
            <w:vAlign w:val="center"/>
          </w:tcPr>
          <w:p>
            <w:pPr>
              <w:widowControl/>
              <w:snapToGrid w:val="0"/>
              <w:spacing w:line="360" w:lineRule="auto"/>
              <w:jc w:val="left"/>
              <w:rPr>
                <w:rFonts w:ascii="宋体" w:hAnsi="宋体" w:cs="宋体"/>
                <w:bCs/>
                <w:kern w:val="0"/>
                <w:szCs w:val="21"/>
              </w:rPr>
            </w:pPr>
            <w:r>
              <w:rPr>
                <w:rFonts w:hint="eastAsia" w:ascii="宋体" w:hAnsi="宋体" w:cs="宋体"/>
                <w:bCs/>
                <w:kern w:val="0"/>
                <w:szCs w:val="21"/>
              </w:rPr>
              <w:t>融资需求的，可向华融湘江银行岳阳分行财源支行咨询（电话：0730-8852901）或登陆中国湖南岳阳市政府采购网查询。</w:t>
            </w:r>
          </w:p>
          <w:p>
            <w:pPr>
              <w:widowControl/>
              <w:snapToGrid w:val="0"/>
              <w:spacing w:line="360" w:lineRule="auto"/>
              <w:jc w:val="left"/>
              <w:rPr>
                <w:rFonts w:ascii="宋体" w:hAnsi="宋体" w:cs="宋体"/>
                <w:bCs/>
                <w:kern w:val="0"/>
                <w:szCs w:val="21"/>
              </w:rPr>
            </w:pPr>
            <w:r>
              <w:rPr>
                <w:rFonts w:hint="eastAsia" w:ascii="宋体" w:hAnsi="宋体" w:cs="宋体"/>
                <w:bCs/>
                <w:kern w:val="0"/>
                <w:szCs w:val="21"/>
              </w:rPr>
              <w:t>联系人及电话：</w:t>
            </w:r>
          </w:p>
          <w:p>
            <w:pPr>
              <w:widowControl/>
              <w:snapToGrid w:val="0"/>
              <w:spacing w:line="360" w:lineRule="auto"/>
              <w:jc w:val="left"/>
              <w:rPr>
                <w:rFonts w:ascii="宋体" w:hAnsi="宋体" w:cs="宋体"/>
                <w:bCs/>
                <w:kern w:val="0"/>
                <w:szCs w:val="21"/>
              </w:rPr>
            </w:pPr>
            <w:r>
              <w:rPr>
                <w:rFonts w:hint="eastAsia" w:ascii="宋体" w:hAnsi="宋体" w:cs="宋体"/>
                <w:bCs/>
                <w:kern w:val="0"/>
                <w:szCs w:val="21"/>
              </w:rPr>
              <w:t>财源支行行长李莅：13975022566；</w:t>
            </w:r>
          </w:p>
          <w:p>
            <w:pPr>
              <w:widowControl/>
              <w:snapToGrid w:val="0"/>
              <w:spacing w:line="360" w:lineRule="auto"/>
              <w:jc w:val="left"/>
              <w:rPr>
                <w:rFonts w:ascii="宋体" w:hAnsi="宋体" w:cs="宋体"/>
                <w:bCs/>
                <w:kern w:val="0"/>
                <w:szCs w:val="21"/>
              </w:rPr>
            </w:pPr>
            <w:r>
              <w:rPr>
                <w:rFonts w:hint="eastAsia" w:ascii="宋体" w:hAnsi="宋体" w:cs="宋体"/>
                <w:bCs/>
                <w:kern w:val="0"/>
                <w:szCs w:val="21"/>
              </w:rPr>
              <w:t>客服经理李建湘：15973018898；</w:t>
            </w:r>
          </w:p>
          <w:p>
            <w:pPr>
              <w:widowControl/>
              <w:snapToGrid w:val="0"/>
              <w:spacing w:line="360" w:lineRule="auto"/>
              <w:jc w:val="left"/>
              <w:rPr>
                <w:rFonts w:ascii="宋体" w:hAnsi="宋体" w:cs="宋体"/>
                <w:bCs/>
                <w:kern w:val="0"/>
                <w:szCs w:val="21"/>
              </w:rPr>
            </w:pPr>
            <w:r>
              <w:rPr>
                <w:rFonts w:hint="eastAsia" w:ascii="宋体" w:hAnsi="宋体" w:cs="宋体"/>
                <w:bCs/>
                <w:kern w:val="0"/>
                <w:szCs w:val="21"/>
              </w:rPr>
              <w:t>孙永恒：13807300518</w:t>
            </w:r>
          </w:p>
          <w:p>
            <w:pPr>
              <w:widowControl/>
              <w:snapToGrid w:val="0"/>
              <w:spacing w:line="360" w:lineRule="auto"/>
              <w:jc w:val="left"/>
              <w:rPr>
                <w:rFonts w:ascii="宋体" w:hAnsi="宋体" w:cs="宋体"/>
                <w:szCs w:val="21"/>
              </w:rPr>
            </w:pPr>
            <w:r>
              <w:rPr>
                <w:rFonts w:hint="eastAsia" w:ascii="宋体" w:hAnsi="宋体" w:cs="宋体"/>
                <w:bCs/>
                <w:kern w:val="0"/>
                <w:szCs w:val="21"/>
              </w:rPr>
              <w:t>分行中小企业金融服务中心：季芳：13307302811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86" w:hRule="atLeast"/>
        </w:trPr>
        <w:tc>
          <w:tcPr>
            <w:tcW w:w="2147" w:type="dxa"/>
            <w:vAlign w:val="center"/>
          </w:tcPr>
          <w:p>
            <w:pPr>
              <w:adjustRightInd w:val="0"/>
              <w:snapToGrid w:val="0"/>
              <w:spacing w:beforeLines="50" w:line="300" w:lineRule="auto"/>
              <w:jc w:val="center"/>
              <w:rPr>
                <w:rFonts w:ascii="宋体" w:hAnsi="宋体" w:cs="宋体"/>
                <w:szCs w:val="21"/>
              </w:rPr>
            </w:pPr>
          </w:p>
        </w:tc>
        <w:tc>
          <w:tcPr>
            <w:tcW w:w="2278"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法律、法规、规章和省级以上财政部门规定的其他内容</w:t>
            </w:r>
          </w:p>
        </w:tc>
        <w:tc>
          <w:tcPr>
            <w:tcW w:w="4914" w:type="dxa"/>
            <w:gridSpan w:val="3"/>
            <w:vAlign w:val="center"/>
          </w:tcPr>
          <w:p>
            <w:pPr>
              <w:adjustRightInd w:val="0"/>
              <w:snapToGrid w:val="0"/>
              <w:spacing w:beforeLines="50" w:line="360" w:lineRule="auto"/>
              <w:rPr>
                <w:rFonts w:ascii="宋体" w:hAnsi="宋体" w:cs="宋体"/>
                <w:szCs w:val="21"/>
              </w:rPr>
            </w:pPr>
            <w:r>
              <w:rPr>
                <w:rFonts w:hint="eastAsia" w:ascii="宋体" w:hAnsi="宋体" w:cs="宋体"/>
                <w:szCs w:val="21"/>
              </w:rPr>
              <w:t>请在财政部门指定媒体上查阅相关信息并及时填写。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76"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第一章第39.1</w:t>
            </w:r>
            <w:r>
              <w:rPr>
                <w:rFonts w:hint="eastAsia" w:ascii="宋体" w:hAnsi="宋体" w:cs="宋体"/>
                <w:kern w:val="0"/>
                <w:szCs w:val="21"/>
                <w:lang w:val="zh-CN"/>
              </w:rPr>
              <w:t>款</w:t>
            </w:r>
          </w:p>
        </w:tc>
        <w:tc>
          <w:tcPr>
            <w:tcW w:w="2278"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招标代理服务费</w:t>
            </w:r>
          </w:p>
        </w:tc>
        <w:tc>
          <w:tcPr>
            <w:tcW w:w="4914" w:type="dxa"/>
            <w:gridSpan w:val="3"/>
            <w:vAlign w:val="center"/>
          </w:tcPr>
          <w:p>
            <w:pPr>
              <w:adjustRightInd w:val="0"/>
              <w:snapToGrid w:val="0"/>
              <w:spacing w:beforeLines="50" w:line="360" w:lineRule="auto"/>
              <w:rPr>
                <w:rFonts w:ascii="宋体" w:hAnsi="宋体"/>
                <w:szCs w:val="21"/>
              </w:rPr>
            </w:pPr>
            <w:r>
              <w:rPr>
                <w:rFonts w:hint="eastAsia" w:ascii="宋体" w:hAnsi="宋体"/>
                <w:szCs w:val="21"/>
              </w:rPr>
              <w:t>注：1、集中采购机构：免收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2、其他采购代理机构：</w:t>
            </w:r>
            <w:r>
              <w:rPr>
                <w:rFonts w:hint="eastAsia" w:ascii="宋体" w:hAnsi="宋体"/>
                <w:szCs w:val="21"/>
                <w:u w:val="single"/>
              </w:rPr>
              <w:t xml:space="preserve"> 由中标单位在领取中标通知书时按招标代理服务费标准向采购代理机构缴纳代理服务费 </w:t>
            </w:r>
            <w:r>
              <w:rPr>
                <w:rFonts w:hint="eastAsia" w:ascii="宋体" w:hAnsi="宋体"/>
                <w:szCs w:val="21"/>
              </w:rPr>
              <w:t>，招标代理服务收费标准见附页1</w:t>
            </w:r>
          </w:p>
          <w:p>
            <w:pPr>
              <w:adjustRightInd w:val="0"/>
              <w:snapToGrid w:val="0"/>
              <w:spacing w:beforeLines="50" w:line="360" w:lineRule="auto"/>
              <w:ind w:firstLine="420" w:firstLineChars="200"/>
              <w:rPr>
                <w:rFonts w:ascii="宋体" w:hAnsi="宋体" w:cs="宋体"/>
                <w:szCs w:val="21"/>
              </w:rPr>
            </w:pPr>
            <w:r>
              <w:rPr>
                <w:rFonts w:hint="eastAsia" w:ascii="宋体" w:hAnsi="宋体"/>
                <w:szCs w:val="21"/>
              </w:rPr>
              <w:t>3、招标代理服务费的币种：人民币。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6"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第一章第40.1</w:t>
            </w:r>
            <w:r>
              <w:rPr>
                <w:rFonts w:hint="eastAsia" w:ascii="宋体" w:hAnsi="宋体" w:cs="宋体"/>
                <w:kern w:val="0"/>
                <w:szCs w:val="21"/>
                <w:lang w:val="zh-CN"/>
              </w:rPr>
              <w:t>款</w:t>
            </w:r>
          </w:p>
        </w:tc>
        <w:tc>
          <w:tcPr>
            <w:tcW w:w="2278" w:type="dxa"/>
            <w:vAlign w:val="center"/>
          </w:tcPr>
          <w:p>
            <w:pPr>
              <w:jc w:val="center"/>
              <w:rPr>
                <w:rFonts w:ascii="宋体" w:hAnsi="宋体" w:cs="宋体"/>
              </w:rPr>
            </w:pPr>
          </w:p>
          <w:p>
            <w:pPr>
              <w:jc w:val="center"/>
              <w:rPr>
                <w:rFonts w:ascii="宋体" w:hAnsi="宋体" w:cs="宋体"/>
              </w:rPr>
            </w:pPr>
            <w:r>
              <w:rPr>
                <w:rFonts w:hint="eastAsia" w:ascii="宋体" w:hAnsi="宋体" w:cs="宋体"/>
              </w:rPr>
              <w:t>其他规定</w:t>
            </w:r>
          </w:p>
        </w:tc>
        <w:tc>
          <w:tcPr>
            <w:tcW w:w="4914" w:type="dxa"/>
            <w:gridSpan w:val="3"/>
          </w:tcPr>
          <w:p>
            <w:pPr>
              <w:rPr>
                <w:rFonts w:ascii="宋体" w:hAnsi="宋体"/>
                <w:szCs w:val="21"/>
              </w:rPr>
            </w:pPr>
          </w:p>
          <w:p>
            <w:pPr>
              <w:widowControl/>
              <w:jc w:val="left"/>
              <w:rPr>
                <w:rFonts w:ascii="宋体" w:hAnsi="宋体"/>
                <w:szCs w:val="21"/>
              </w:rPr>
            </w:pPr>
            <w:r>
              <w:rPr>
                <w:rFonts w:hint="eastAsia" w:ascii="宋体" w:hAnsi="宋体"/>
                <w:szCs w:val="21"/>
              </w:rPr>
              <w:t>1、投标人为中小企业的，应如实填写并提供投标人《中小企业声明函》及《提供中型、小型、微型企业产品清单》；产品属于“节能产品”或“环境标志产品”或“两型产品”的，应如实填写并提供《提供“节能产品”、“环境标志产品”、“两型产品”清单》并提供《节能产品政府采购清单》或《环境标志产品政府采购清单》或《湖南省两型产品政府采购目录》中该产品所在页复印件，并在报价文件中提供相应数据。否则不予价格扣除。</w:t>
            </w:r>
          </w:p>
          <w:p>
            <w:pPr>
              <w:ind w:firstLine="420" w:firstLineChars="200"/>
              <w:rPr>
                <w:rFonts w:ascii="宋体" w:hAnsi="宋体"/>
                <w:szCs w:val="21"/>
              </w:rPr>
            </w:pPr>
            <w:r>
              <w:rPr>
                <w:rFonts w:hint="eastAsia" w:ascii="宋体" w:hAnsi="宋体"/>
                <w:szCs w:val="21"/>
              </w:rPr>
              <w:t>2、优惠政策（中小企业产品、节能产品、两型产品、环境标志产品）按湖南省政府采购规定进行执行。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9339" w:type="dxa"/>
            <w:gridSpan w:val="5"/>
            <w:vAlign w:val="center"/>
          </w:tcPr>
          <w:p>
            <w:pPr>
              <w:pStyle w:val="4"/>
              <w:jc w:val="center"/>
              <w:rPr>
                <w:rFonts w:ascii="宋体" w:hAnsi="宋体" w:cs="宋体"/>
                <w:sz w:val="28"/>
                <w:szCs w:val="28"/>
              </w:rPr>
            </w:pPr>
            <w:bookmarkStart w:id="389" w:name="_Toc536603276"/>
            <w:r>
              <w:rPr>
                <w:rFonts w:hint="eastAsia" w:ascii="宋体" w:hAnsi="宋体" w:cs="宋体"/>
                <w:sz w:val="28"/>
                <w:szCs w:val="28"/>
              </w:rPr>
              <w:t>第二章 评标方法及标准(综合评分法适用)（前附表）</w:t>
            </w:r>
            <w:bookmarkEnd w:id="389"/>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第二章第1.2.2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评标因素和标准</w:t>
            </w:r>
          </w:p>
        </w:tc>
        <w:tc>
          <w:tcPr>
            <w:tcW w:w="4893" w:type="dxa"/>
            <w:gridSpan w:val="2"/>
            <w:vAlign w:val="center"/>
          </w:tcPr>
          <w:p>
            <w:pPr>
              <w:adjustRightInd w:val="0"/>
              <w:snapToGrid w:val="0"/>
              <w:spacing w:beforeLines="50" w:line="300" w:lineRule="auto"/>
              <w:rPr>
                <w:rFonts w:ascii="仿宋" w:hAnsi="仿宋" w:eastAsia="仿宋" w:cs="宋体"/>
                <w:szCs w:val="21"/>
              </w:rPr>
            </w:pPr>
            <w:r>
              <w:rPr>
                <w:rFonts w:hint="eastAsia" w:ascii="仿宋" w:hAnsi="仿宋" w:eastAsia="仿宋" w:cs="宋体"/>
                <w:szCs w:val="21"/>
              </w:rPr>
              <w:t>（提示：因评标因素“技术”项涉及政府采购政策优惠，为便于计算，应与其他评标因素分列）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9" w:hRule="atLeast"/>
        </w:trPr>
        <w:tc>
          <w:tcPr>
            <w:tcW w:w="2147" w:type="dxa"/>
            <w:vMerge w:val="restart"/>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第二章第1.2.3款</w:t>
            </w:r>
          </w:p>
        </w:tc>
        <w:tc>
          <w:tcPr>
            <w:tcW w:w="2299" w:type="dxa"/>
            <w:gridSpan w:val="2"/>
            <w:vMerge w:val="restart"/>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权值</w:t>
            </w:r>
          </w:p>
        </w:tc>
        <w:tc>
          <w:tcPr>
            <w:tcW w:w="2556"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评审因素</w:t>
            </w:r>
          </w:p>
        </w:tc>
        <w:tc>
          <w:tcPr>
            <w:tcW w:w="233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权值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9" w:hRule="atLeast"/>
        </w:trPr>
        <w:tc>
          <w:tcPr>
            <w:tcW w:w="2147" w:type="dxa"/>
            <w:vMerge w:val="continue"/>
            <w:vAlign w:val="center"/>
          </w:tcPr>
          <w:p>
            <w:pPr>
              <w:adjustRightInd w:val="0"/>
              <w:snapToGrid w:val="0"/>
              <w:spacing w:beforeLines="50" w:line="300" w:lineRule="auto"/>
              <w:rPr>
                <w:rFonts w:ascii="宋体" w:hAnsi="宋体" w:cs="宋体"/>
                <w:szCs w:val="21"/>
              </w:rPr>
            </w:pPr>
          </w:p>
        </w:tc>
        <w:tc>
          <w:tcPr>
            <w:tcW w:w="2299" w:type="dxa"/>
            <w:gridSpan w:val="2"/>
            <w:vMerge w:val="continue"/>
            <w:vAlign w:val="center"/>
          </w:tcPr>
          <w:p>
            <w:pPr>
              <w:adjustRightInd w:val="0"/>
              <w:snapToGrid w:val="0"/>
              <w:spacing w:beforeLines="50" w:line="300" w:lineRule="auto"/>
              <w:rPr>
                <w:rFonts w:ascii="宋体" w:hAnsi="宋体" w:cs="宋体"/>
                <w:szCs w:val="21"/>
              </w:rPr>
            </w:pPr>
          </w:p>
        </w:tc>
        <w:tc>
          <w:tcPr>
            <w:tcW w:w="2556"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商务</w:t>
            </w:r>
          </w:p>
        </w:tc>
        <w:tc>
          <w:tcPr>
            <w:tcW w:w="233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b/>
                <w:bCs/>
                <w:szCs w:val="21"/>
              </w:rPr>
              <w:t>0.30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9" w:hRule="atLeast"/>
        </w:trPr>
        <w:tc>
          <w:tcPr>
            <w:tcW w:w="2147" w:type="dxa"/>
            <w:vMerge w:val="continue"/>
            <w:vAlign w:val="center"/>
          </w:tcPr>
          <w:p>
            <w:pPr>
              <w:adjustRightInd w:val="0"/>
              <w:snapToGrid w:val="0"/>
              <w:spacing w:beforeLines="50" w:line="300" w:lineRule="auto"/>
              <w:rPr>
                <w:rFonts w:ascii="宋体" w:hAnsi="宋体" w:cs="宋体"/>
                <w:szCs w:val="21"/>
              </w:rPr>
            </w:pPr>
          </w:p>
        </w:tc>
        <w:tc>
          <w:tcPr>
            <w:tcW w:w="2299" w:type="dxa"/>
            <w:gridSpan w:val="2"/>
            <w:vMerge w:val="continue"/>
            <w:vAlign w:val="center"/>
          </w:tcPr>
          <w:p>
            <w:pPr>
              <w:adjustRightInd w:val="0"/>
              <w:snapToGrid w:val="0"/>
              <w:spacing w:beforeLines="50" w:line="300" w:lineRule="auto"/>
              <w:rPr>
                <w:rFonts w:ascii="宋体" w:hAnsi="宋体" w:cs="宋体"/>
                <w:szCs w:val="21"/>
              </w:rPr>
            </w:pPr>
          </w:p>
        </w:tc>
        <w:tc>
          <w:tcPr>
            <w:tcW w:w="2556"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技术</w:t>
            </w:r>
          </w:p>
        </w:tc>
        <w:tc>
          <w:tcPr>
            <w:tcW w:w="233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b/>
                <w:bCs/>
                <w:szCs w:val="21"/>
              </w:rPr>
              <w:t>0.40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9" w:hRule="atLeast"/>
        </w:trPr>
        <w:tc>
          <w:tcPr>
            <w:tcW w:w="2147" w:type="dxa"/>
            <w:vMerge w:val="continue"/>
            <w:vAlign w:val="center"/>
          </w:tcPr>
          <w:p>
            <w:pPr>
              <w:adjustRightInd w:val="0"/>
              <w:snapToGrid w:val="0"/>
              <w:spacing w:beforeLines="50" w:line="300" w:lineRule="auto"/>
              <w:rPr>
                <w:rFonts w:ascii="宋体" w:hAnsi="宋体" w:cs="宋体"/>
                <w:szCs w:val="21"/>
              </w:rPr>
            </w:pPr>
          </w:p>
        </w:tc>
        <w:tc>
          <w:tcPr>
            <w:tcW w:w="2299" w:type="dxa"/>
            <w:gridSpan w:val="2"/>
            <w:vMerge w:val="continue"/>
            <w:vAlign w:val="center"/>
          </w:tcPr>
          <w:p>
            <w:pPr>
              <w:adjustRightInd w:val="0"/>
              <w:snapToGrid w:val="0"/>
              <w:spacing w:beforeLines="50" w:line="300" w:lineRule="auto"/>
              <w:rPr>
                <w:rFonts w:ascii="宋体" w:hAnsi="宋体" w:cs="宋体"/>
                <w:szCs w:val="21"/>
              </w:rPr>
            </w:pPr>
          </w:p>
        </w:tc>
        <w:tc>
          <w:tcPr>
            <w:tcW w:w="2556"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价格</w:t>
            </w:r>
          </w:p>
        </w:tc>
        <w:tc>
          <w:tcPr>
            <w:tcW w:w="233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b/>
                <w:bCs/>
                <w:szCs w:val="21"/>
              </w:rPr>
              <w:t>0.30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9" w:hRule="atLeast"/>
        </w:trPr>
        <w:tc>
          <w:tcPr>
            <w:tcW w:w="2147" w:type="dxa"/>
            <w:vMerge w:val="continue"/>
            <w:vAlign w:val="center"/>
          </w:tcPr>
          <w:p>
            <w:pPr>
              <w:adjustRightInd w:val="0"/>
              <w:snapToGrid w:val="0"/>
              <w:spacing w:beforeLines="50" w:line="300" w:lineRule="auto"/>
              <w:rPr>
                <w:rFonts w:ascii="宋体" w:hAnsi="宋体" w:cs="宋体"/>
                <w:szCs w:val="21"/>
              </w:rPr>
            </w:pPr>
          </w:p>
        </w:tc>
        <w:tc>
          <w:tcPr>
            <w:tcW w:w="2299" w:type="dxa"/>
            <w:gridSpan w:val="2"/>
            <w:vMerge w:val="continue"/>
            <w:vAlign w:val="center"/>
          </w:tcPr>
          <w:p>
            <w:pPr>
              <w:adjustRightInd w:val="0"/>
              <w:snapToGrid w:val="0"/>
              <w:spacing w:beforeLines="50" w:line="300" w:lineRule="auto"/>
              <w:rPr>
                <w:rFonts w:ascii="宋体" w:hAnsi="宋体" w:cs="宋体"/>
                <w:szCs w:val="21"/>
              </w:rPr>
            </w:pPr>
          </w:p>
        </w:tc>
        <w:tc>
          <w:tcPr>
            <w:tcW w:w="2556"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其他</w:t>
            </w:r>
          </w:p>
        </w:tc>
        <w:tc>
          <w:tcPr>
            <w:tcW w:w="233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b/>
                <w:bCs/>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第二章第2.1.2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无效投标的规定</w:t>
            </w:r>
          </w:p>
        </w:tc>
        <w:tc>
          <w:tcPr>
            <w:tcW w:w="4893" w:type="dxa"/>
            <w:gridSpan w:val="2"/>
            <w:vAlign w:val="center"/>
          </w:tcPr>
          <w:p>
            <w:pPr>
              <w:adjustRightInd w:val="0"/>
              <w:snapToGrid w:val="0"/>
              <w:spacing w:line="300" w:lineRule="auto"/>
              <w:rPr>
                <w:rFonts w:ascii="宋体" w:hAnsi="宋体" w:cs="宋体"/>
                <w:szCs w:val="21"/>
              </w:rPr>
            </w:pPr>
            <w:r>
              <w:rPr>
                <w:rFonts w:hint="eastAsia" w:ascii="宋体" w:hAnsi="宋体" w:cs="宋体"/>
                <w:szCs w:val="21"/>
              </w:rPr>
              <w:t>投标文件属下列情况之一的，应在资格性、符合性检查时按照无效投标处理：</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（1）应交未交投标保证金或金额不足、投标保证金形式不符合招标文件要求的；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（2）未按照招标文件规定要求密封、签署、盖章的；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（3）参加政府采购活动前三年内，在经营活动中有</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 xml:space="preserve">重大违法记录的； </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（4）不具备第一章“投标须知”第3.1项规定资格</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要求的；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（5）不满足第一章“投标须知”第10.1项、第10.</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2款</w:t>
            </w:r>
            <w:r>
              <w:rPr>
                <w:rFonts w:hint="eastAsia" w:ascii="宋体" w:hAnsi="宋体" w:cs="宋体"/>
                <w:bCs/>
                <w:szCs w:val="21"/>
              </w:rPr>
              <w:t>规定的</w:t>
            </w:r>
            <w:r>
              <w:rPr>
                <w:rFonts w:hint="eastAsia" w:ascii="宋体" w:hAnsi="宋体" w:cs="宋体"/>
                <w:szCs w:val="21"/>
              </w:rPr>
              <w:t>实质性要求的；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（6）投标报价超过采购项目预算的；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（7）同一投标人提交两个以上不同的投标文件或者</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投标报价的，但第一章“投标须知”第16.3款允许</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提交备选方案的除外；</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（8）</w:t>
            </w:r>
            <w:r>
              <w:rPr>
                <w:rFonts w:hint="eastAsia" w:ascii="宋体" w:hAnsi="宋体" w:cs="宋体"/>
                <w:kern w:val="0"/>
              </w:rPr>
              <w:t>投标文件载明的投标范围小于招标文件规定的招标范围的(</w:t>
            </w:r>
            <w:r>
              <w:rPr>
                <w:rFonts w:hint="eastAsia" w:ascii="宋体" w:hAnsi="宋体" w:cs="宋体"/>
                <w:szCs w:val="21"/>
              </w:rPr>
              <w:t>缺漏招标文件所要求的内容)</w:t>
            </w:r>
            <w:r>
              <w:rPr>
                <w:rFonts w:hint="eastAsia" w:ascii="宋体" w:hAnsi="宋体" w:cs="宋体"/>
                <w:kern w:val="0"/>
              </w:rPr>
              <w:t>；</w:t>
            </w:r>
          </w:p>
          <w:p>
            <w:pPr>
              <w:tabs>
                <w:tab w:val="left" w:pos="3105"/>
              </w:tabs>
              <w:adjustRightInd w:val="0"/>
              <w:snapToGrid w:val="0"/>
              <w:spacing w:beforeLines="50" w:line="300" w:lineRule="auto"/>
              <w:rPr>
                <w:rFonts w:ascii="宋体" w:hAnsi="宋体" w:cs="宋体"/>
                <w:kern w:val="0"/>
              </w:rPr>
            </w:pPr>
            <w:r>
              <w:rPr>
                <w:rFonts w:hint="eastAsia" w:ascii="宋体" w:hAnsi="宋体" w:cs="宋体"/>
                <w:szCs w:val="21"/>
              </w:rPr>
              <w:t>（9）投标有效期不足的；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（10）不符合法律、法规和招标文件规定的。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第二章第2.1.3</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废标的规定</w:t>
            </w:r>
          </w:p>
        </w:tc>
        <w:tc>
          <w:tcPr>
            <w:tcW w:w="4893" w:type="dxa"/>
            <w:gridSpan w:val="2"/>
            <w:vAlign w:val="center"/>
          </w:tcPr>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有下列情形之一时，评标委员会应予废标：</w:t>
            </w:r>
          </w:p>
          <w:p>
            <w:pPr>
              <w:numPr>
                <w:ilvl w:val="0"/>
                <w:numId w:val="3"/>
              </w:numPr>
              <w:adjustRightInd w:val="0"/>
              <w:snapToGrid w:val="0"/>
              <w:spacing w:beforeLines="50" w:line="300" w:lineRule="auto"/>
              <w:ind w:right="-109" w:rightChars="-52"/>
              <w:rPr>
                <w:rFonts w:ascii="宋体" w:hAnsi="宋体" w:cs="宋体"/>
                <w:szCs w:val="21"/>
              </w:rPr>
            </w:pPr>
            <w:r>
              <w:rPr>
                <w:rFonts w:hint="eastAsia" w:ascii="宋体" w:hAnsi="宋体" w:cs="宋体"/>
                <w:szCs w:val="21"/>
              </w:rPr>
              <w:t>符合专业条件的投标人或者对招标文件作实质</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性响应的投标人不足三家的；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（2）出现影响采购公正的违法、违规行为的；</w:t>
            </w:r>
          </w:p>
          <w:p>
            <w:pPr>
              <w:adjustRightInd w:val="0"/>
              <w:snapToGrid w:val="0"/>
              <w:spacing w:beforeLines="50" w:line="300" w:lineRule="auto"/>
              <w:ind w:right="-109" w:rightChars="-52"/>
              <w:rPr>
                <w:rFonts w:ascii="宋体" w:hAnsi="宋体" w:cs="宋体"/>
                <w:szCs w:val="21"/>
              </w:rPr>
            </w:pPr>
            <w:r>
              <w:rPr>
                <w:rFonts w:hint="eastAsia" w:ascii="宋体" w:hAnsi="宋体" w:cs="宋体"/>
                <w:szCs w:val="21"/>
              </w:rPr>
              <w:t>（3）投标人的报价均超过了采购预算的；</w:t>
            </w:r>
          </w:p>
          <w:p>
            <w:pPr>
              <w:adjustRightInd w:val="0"/>
              <w:snapToGrid w:val="0"/>
              <w:spacing w:beforeLines="50" w:line="300" w:lineRule="auto"/>
              <w:rPr>
                <w:rFonts w:ascii="宋体" w:hAnsi="宋体" w:cs="宋体"/>
                <w:szCs w:val="21"/>
              </w:rPr>
            </w:pPr>
            <w:r>
              <w:rPr>
                <w:rFonts w:hint="eastAsia" w:ascii="宋体" w:hAnsi="宋体" w:cs="宋体"/>
                <w:szCs w:val="21"/>
              </w:rPr>
              <w:t>（4）因重大变故，采购任务取消的。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第二章第2.1.5</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多家代理商参加同一品牌同一型号产品投标的规定</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szCs w:val="21"/>
              </w:rPr>
              <w:t>多家代理商参加同一主要产品品牌同一型号产品投标的，分别计算。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第二章第2.3.2</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60" w:lineRule="auto"/>
              <w:jc w:val="center"/>
              <w:rPr>
                <w:rFonts w:ascii="宋体" w:hAnsi="宋体" w:cs="宋体"/>
                <w:szCs w:val="21"/>
              </w:rPr>
            </w:pPr>
            <w:r>
              <w:rPr>
                <w:rFonts w:hint="eastAsia" w:ascii="宋体" w:hAnsi="宋体" w:cs="宋体"/>
                <w:kern w:val="0"/>
                <w:szCs w:val="21"/>
              </w:rPr>
              <w:t>投标报价</w:t>
            </w:r>
            <w:r>
              <w:rPr>
                <w:rFonts w:hint="eastAsia" w:ascii="宋体" w:hAnsi="宋体" w:cs="宋体"/>
                <w:szCs w:val="21"/>
              </w:rPr>
              <w:t>调整</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bCs/>
                <w:kern w:val="0"/>
                <w:szCs w:val="21"/>
              </w:rPr>
              <w:t>支持</w:t>
            </w:r>
            <w:r>
              <w:rPr>
                <w:rFonts w:hint="eastAsia" w:ascii="宋体" w:hAnsi="宋体" w:cs="宋体"/>
                <w:bCs/>
                <w:szCs w:val="21"/>
              </w:rPr>
              <w:t>中小企业政府发展：小型和微型企业产品</w:t>
            </w:r>
            <w:r>
              <w:rPr>
                <w:rFonts w:hint="eastAsia" w:ascii="宋体" w:hAnsi="宋体" w:cs="宋体"/>
                <w:bCs/>
                <w:kern w:val="0"/>
                <w:szCs w:val="21"/>
              </w:rPr>
              <w:t>投标报价</w:t>
            </w:r>
            <w:r>
              <w:rPr>
                <w:rFonts w:hint="eastAsia" w:ascii="宋体" w:hAnsi="宋体" w:cs="宋体"/>
                <w:bCs/>
                <w:szCs w:val="21"/>
              </w:rPr>
              <w:t xml:space="preserve">扣除比例为 </w:t>
            </w:r>
            <w:r>
              <w:rPr>
                <w:rFonts w:hint="eastAsia" w:ascii="宋体" w:hAnsi="宋体" w:cs="宋体"/>
                <w:bCs/>
                <w:szCs w:val="21"/>
                <w:u w:val="single"/>
              </w:rPr>
              <w:t xml:space="preserve"> 6 </w:t>
            </w:r>
            <w:r>
              <w:rPr>
                <w:rFonts w:hint="eastAsia" w:ascii="宋体" w:hAnsi="宋体" w:cs="宋体"/>
                <w:bCs/>
                <w:szCs w:val="21"/>
              </w:rPr>
              <w:t>％，中型企业产品</w:t>
            </w:r>
            <w:r>
              <w:rPr>
                <w:rFonts w:hint="eastAsia" w:ascii="宋体" w:hAnsi="宋体" w:cs="宋体"/>
                <w:bCs/>
                <w:kern w:val="0"/>
                <w:szCs w:val="21"/>
              </w:rPr>
              <w:t>投标报价</w:t>
            </w:r>
            <w:r>
              <w:rPr>
                <w:rFonts w:hint="eastAsia" w:ascii="宋体" w:hAnsi="宋体" w:cs="宋体"/>
                <w:bCs/>
                <w:szCs w:val="21"/>
              </w:rPr>
              <w:t xml:space="preserve">扣除比例为 </w:t>
            </w:r>
            <w:r>
              <w:rPr>
                <w:rFonts w:hint="eastAsia" w:ascii="宋体" w:hAnsi="宋体" w:cs="宋体"/>
                <w:bCs/>
                <w:szCs w:val="21"/>
                <w:u w:val="single"/>
              </w:rPr>
              <w:t xml:space="preserve"> 3 </w:t>
            </w:r>
            <w:r>
              <w:rPr>
                <w:rFonts w:hint="eastAsia" w:ascii="宋体" w:hAnsi="宋体" w:cs="宋体"/>
                <w:bCs/>
                <w:szCs w:val="21"/>
              </w:rPr>
              <w:t>％。</w:t>
            </w:r>
            <w:r>
              <w:rPr>
                <w:rFonts w:hint="eastAsia" w:ascii="宋体" w:hAnsi="宋体" w:cs="宋体"/>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305" w:hRule="atLeast"/>
        </w:trPr>
        <w:tc>
          <w:tcPr>
            <w:tcW w:w="2147"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第二章第2.3.4</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技术、价格</w:t>
            </w:r>
            <w:r>
              <w:rPr>
                <w:rFonts w:hint="eastAsia" w:ascii="宋体" w:hAnsi="宋体" w:cs="宋体"/>
                <w:kern w:val="0"/>
                <w:szCs w:val="21"/>
              </w:rPr>
              <w:t>得分或总得分</w:t>
            </w:r>
            <w:r>
              <w:rPr>
                <w:rFonts w:hint="eastAsia" w:ascii="宋体" w:hAnsi="宋体" w:cs="宋体"/>
                <w:szCs w:val="21"/>
              </w:rPr>
              <w:t>调整</w:t>
            </w:r>
          </w:p>
        </w:tc>
        <w:tc>
          <w:tcPr>
            <w:tcW w:w="4893" w:type="dxa"/>
            <w:gridSpan w:val="2"/>
            <w:vAlign w:val="center"/>
          </w:tcPr>
          <w:p>
            <w:pPr>
              <w:adjustRightInd w:val="0"/>
              <w:snapToGrid w:val="0"/>
              <w:spacing w:line="360" w:lineRule="auto"/>
              <w:rPr>
                <w:rFonts w:ascii="宋体" w:hAnsi="宋体" w:cs="宋体"/>
                <w:szCs w:val="21"/>
                <w:u w:val="single"/>
              </w:rPr>
            </w:pPr>
            <w:r>
              <w:rPr>
                <w:rFonts w:hint="eastAsia" w:ascii="宋体" w:hAnsi="宋体" w:cs="宋体"/>
                <w:szCs w:val="21"/>
              </w:rPr>
              <w:t>采购产品为《湖南省两型产品政府采购目录》（第五批）内的：</w:t>
            </w:r>
          </w:p>
          <w:p>
            <w:pPr>
              <w:adjustRightInd w:val="0"/>
              <w:snapToGrid w:val="0"/>
              <w:spacing w:line="360" w:lineRule="auto"/>
              <w:rPr>
                <w:rFonts w:ascii="宋体" w:hAnsi="宋体"/>
                <w:szCs w:val="21"/>
              </w:rPr>
            </w:pPr>
            <w:r>
              <w:rPr>
                <w:rFonts w:hint="eastAsia" w:ascii="宋体" w:hAnsi="宋体"/>
                <w:szCs w:val="21"/>
              </w:rPr>
              <w:t>A.在价格评标项中，对两型产品给予价格评标总分值4%-8%的加分。在本项目中，给予价格评标总分值4%的加分；</w:t>
            </w:r>
          </w:p>
          <w:p>
            <w:pPr>
              <w:adjustRightInd w:val="0"/>
              <w:snapToGrid w:val="0"/>
              <w:spacing w:line="360" w:lineRule="auto"/>
              <w:rPr>
                <w:rFonts w:ascii="宋体" w:hAnsi="宋体"/>
                <w:szCs w:val="21"/>
              </w:rPr>
            </w:pPr>
            <w:r>
              <w:rPr>
                <w:rFonts w:hint="eastAsia" w:ascii="宋体" w:hAnsi="宋体"/>
                <w:szCs w:val="21"/>
              </w:rPr>
              <w:t>B.在技术评标项中，对两型产品给予技术评标总分值4%-8%的加分。在本项目中，给予技术评标总分值4%的加分；</w:t>
            </w:r>
          </w:p>
          <w:p>
            <w:pPr>
              <w:adjustRightInd w:val="0"/>
              <w:snapToGrid w:val="0"/>
              <w:spacing w:beforeLines="50" w:line="360" w:lineRule="auto"/>
              <w:rPr>
                <w:rFonts w:ascii="宋体" w:hAnsi="宋体" w:cs="宋体"/>
                <w:szCs w:val="21"/>
              </w:rPr>
            </w:pPr>
            <w:r>
              <w:rPr>
                <w:rFonts w:hint="eastAsia" w:ascii="宋体" w:hAnsi="宋体"/>
                <w:szCs w:val="21"/>
              </w:rPr>
              <w:t>C.在商务评标项中，对在本地设有生产基地和备品备件库、有服务机构和网点的两型产品，给予商务评标总分值4%-8%的加分。在本项目中，给予商务评标总分值4%的加分。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60" w:lineRule="auto"/>
              <w:jc w:val="center"/>
              <w:rPr>
                <w:rFonts w:ascii="宋体" w:hAnsi="宋体" w:cs="宋体"/>
                <w:szCs w:val="21"/>
              </w:rPr>
            </w:pPr>
            <w:r>
              <w:rPr>
                <w:rFonts w:hint="eastAsia" w:ascii="宋体" w:hAnsi="宋体" w:cs="宋体"/>
                <w:szCs w:val="21"/>
              </w:rPr>
              <w:t>第二章第2.3.5</w:t>
            </w:r>
            <w:r>
              <w:rPr>
                <w:rFonts w:hint="eastAsia" w:ascii="宋体" w:hAnsi="宋体" w:cs="宋体"/>
                <w:kern w:val="0"/>
                <w:szCs w:val="21"/>
                <w:lang w:val="zh-CN"/>
              </w:rPr>
              <w:t>款</w:t>
            </w:r>
          </w:p>
        </w:tc>
        <w:tc>
          <w:tcPr>
            <w:tcW w:w="2299" w:type="dxa"/>
            <w:gridSpan w:val="2"/>
            <w:vAlign w:val="center"/>
          </w:tcPr>
          <w:p>
            <w:pPr>
              <w:adjustRightInd w:val="0"/>
              <w:snapToGrid w:val="0"/>
              <w:spacing w:before="50" w:line="360" w:lineRule="auto"/>
              <w:jc w:val="center"/>
              <w:rPr>
                <w:rFonts w:ascii="宋体" w:hAnsi="宋体" w:cs="宋体"/>
                <w:szCs w:val="21"/>
              </w:rPr>
            </w:pPr>
            <w:r>
              <w:rPr>
                <w:rFonts w:hint="eastAsia" w:ascii="宋体" w:hAnsi="宋体" w:cs="宋体"/>
                <w:szCs w:val="21"/>
              </w:rPr>
              <w:t>多处获得政府采购政策优惠的计算方法</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szCs w:val="21"/>
              </w:rPr>
              <w:t>投标人投标产品同时具备政府采购优先采购节能产品、环境标志和湖南省政府采购支持两型产品的，投标人可选择其一，也可均填报。对三者均填报的，评标委员会评审时，三者只能选择其一，选择优惠范围最多的优惠政策进行评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bCs/>
                <w:szCs w:val="21"/>
              </w:rPr>
            </w:pPr>
            <w:r>
              <w:rPr>
                <w:rFonts w:hint="eastAsia" w:ascii="宋体" w:hAnsi="宋体" w:cs="宋体"/>
                <w:szCs w:val="21"/>
              </w:rPr>
              <w:t>第二章第2.6.3</w:t>
            </w:r>
            <w:r>
              <w:rPr>
                <w:rFonts w:hint="eastAsia" w:ascii="宋体" w:hAnsi="宋体" w:cs="宋体"/>
                <w:kern w:val="0"/>
                <w:szCs w:val="21"/>
                <w:lang w:val="zh-CN"/>
              </w:rPr>
              <w:t>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推荐的中标</w:t>
            </w:r>
          </w:p>
          <w:p>
            <w:pPr>
              <w:adjustRightInd w:val="0"/>
              <w:snapToGrid w:val="0"/>
              <w:spacing w:beforeLines="50" w:line="300" w:lineRule="auto"/>
              <w:jc w:val="center"/>
              <w:rPr>
                <w:rFonts w:ascii="宋体" w:hAnsi="宋体" w:cs="宋体"/>
                <w:bCs/>
                <w:szCs w:val="21"/>
              </w:rPr>
            </w:pPr>
            <w:r>
              <w:rPr>
                <w:rFonts w:hint="eastAsia" w:ascii="宋体" w:hAnsi="宋体" w:cs="宋体"/>
                <w:szCs w:val="21"/>
              </w:rPr>
              <w:t>候选人数量</w:t>
            </w:r>
          </w:p>
        </w:tc>
        <w:tc>
          <w:tcPr>
            <w:tcW w:w="4893" w:type="dxa"/>
            <w:gridSpan w:val="2"/>
            <w:vAlign w:val="center"/>
          </w:tcPr>
          <w:p>
            <w:pPr>
              <w:adjustRightInd w:val="0"/>
              <w:snapToGrid w:val="0"/>
              <w:spacing w:beforeLines="50" w:line="300" w:lineRule="auto"/>
              <w:rPr>
                <w:rFonts w:ascii="宋体" w:hAnsi="宋体" w:cs="宋体"/>
                <w:szCs w:val="21"/>
              </w:rPr>
            </w:pPr>
            <w:r>
              <w:rPr>
                <w:rFonts w:hint="eastAsia" w:ascii="宋体" w:hAnsi="宋体" w:cs="宋体"/>
                <w:szCs w:val="21"/>
              </w:rPr>
              <w:t>前三名中标候选人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339" w:type="dxa"/>
            <w:gridSpan w:val="5"/>
            <w:vAlign w:val="center"/>
          </w:tcPr>
          <w:p>
            <w:pPr>
              <w:pStyle w:val="4"/>
              <w:jc w:val="center"/>
              <w:rPr>
                <w:rFonts w:ascii="宋体" w:hAnsi="宋体" w:cs="宋体"/>
                <w:b w:val="0"/>
                <w:sz w:val="28"/>
                <w:szCs w:val="28"/>
              </w:rPr>
            </w:pPr>
            <w:bookmarkStart w:id="390" w:name="_Toc536603277"/>
            <w:r>
              <w:rPr>
                <w:rFonts w:hint="eastAsia" w:ascii="宋体" w:hAnsi="宋体" w:cs="宋体"/>
                <w:sz w:val="28"/>
                <w:szCs w:val="28"/>
              </w:rPr>
              <w:t>第三章 政府采购合同格式条款（前附表）</w:t>
            </w:r>
            <w:bookmarkEnd w:id="390"/>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第三章第1.1</w:t>
            </w:r>
            <w:r>
              <w:rPr>
                <w:rFonts w:hint="eastAsia" w:ascii="宋体" w:hAnsi="宋体" w:cs="宋体"/>
                <w:kern w:val="0"/>
                <w:szCs w:val="21"/>
                <w:lang w:val="zh-CN"/>
              </w:rPr>
              <w:t>条</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 xml:space="preserve">甲方名称、地址 </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名称：</w:t>
            </w:r>
            <w:r>
              <w:rPr>
                <w:rFonts w:hint="eastAsia" w:ascii="宋体" w:hAnsi="宋体" w:cs="宋体"/>
                <w:szCs w:val="21"/>
                <w:u w:val="single"/>
              </w:rPr>
              <w:t>平江县文化旅游广电体育局</w:t>
            </w:r>
          </w:p>
          <w:p>
            <w:pPr>
              <w:adjustRightInd w:val="0"/>
              <w:snapToGrid w:val="0"/>
              <w:spacing w:beforeLines="50" w:line="360" w:lineRule="auto"/>
              <w:rPr>
                <w:rFonts w:ascii="宋体" w:hAnsi="宋体" w:cs="宋体"/>
                <w:szCs w:val="21"/>
              </w:rPr>
            </w:pPr>
            <w:r>
              <w:rPr>
                <w:rFonts w:hint="eastAsia" w:ascii="宋体" w:hAnsi="宋体" w:cs="宋体"/>
                <w:szCs w:val="21"/>
              </w:rPr>
              <w:t>地址：</w:t>
            </w:r>
            <w:r>
              <w:rPr>
                <w:rFonts w:hint="eastAsia" w:ascii="宋体" w:hAnsi="宋体" w:cs="宋体"/>
                <w:szCs w:val="21"/>
                <w:u w:val="single"/>
              </w:rPr>
              <w:t>平江县文化旅游广电体育局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第三章第1.2（6）款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szCs w:val="21"/>
              </w:rPr>
              <w:t>★</w:t>
            </w:r>
            <w:r>
              <w:rPr>
                <w:rFonts w:hint="eastAsia" w:ascii="宋体" w:hAnsi="宋体" w:cs="宋体"/>
                <w:szCs w:val="21"/>
              </w:rPr>
              <w:t>项目现场</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u w:val="single"/>
              </w:rPr>
              <w:t>平江县文化旅游广电体育局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第三章第5.1</w:t>
            </w:r>
            <w:r>
              <w:rPr>
                <w:rFonts w:hint="eastAsia" w:ascii="宋体" w:hAnsi="宋体" w:cs="宋体"/>
                <w:kern w:val="0"/>
                <w:szCs w:val="21"/>
                <w:lang w:val="zh-CN"/>
              </w:rPr>
              <w:t>条</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szCs w:val="21"/>
              </w:rPr>
              <w:t>★</w:t>
            </w:r>
            <w:r>
              <w:rPr>
                <w:rFonts w:hint="eastAsia" w:ascii="宋体" w:hAnsi="宋体" w:cs="宋体"/>
                <w:szCs w:val="21"/>
              </w:rPr>
              <w:t>履行合同的时间、地点及方式</w:t>
            </w:r>
          </w:p>
        </w:tc>
        <w:tc>
          <w:tcPr>
            <w:tcW w:w="4893" w:type="dxa"/>
            <w:gridSpan w:val="2"/>
            <w:vAlign w:val="center"/>
          </w:tcPr>
          <w:p>
            <w:pPr>
              <w:rPr>
                <w:rFonts w:ascii="宋体" w:hAnsi="宋体" w:cs="宋体"/>
                <w:szCs w:val="21"/>
              </w:rPr>
            </w:pPr>
            <w:r>
              <w:rPr>
                <w:rFonts w:hint="eastAsia" w:ascii="宋体" w:hAnsi="宋体" w:cs="宋体"/>
                <w:szCs w:val="21"/>
              </w:rPr>
              <w:t>履行合同的时间：</w:t>
            </w:r>
            <w:r>
              <w:rPr>
                <w:rFonts w:hint="eastAsia" w:ascii="宋体" w:hAnsi="宋体" w:cs="宋体"/>
                <w:szCs w:val="21"/>
                <w:u w:val="single"/>
              </w:rPr>
              <w:t>采购人与供应商签订合同后30日内供货</w:t>
            </w:r>
          </w:p>
          <w:p>
            <w:pPr>
              <w:adjustRightInd w:val="0"/>
              <w:snapToGrid w:val="0"/>
              <w:spacing w:beforeLines="50"/>
              <w:rPr>
                <w:rFonts w:ascii="宋体" w:hAnsi="宋体" w:cs="宋体"/>
                <w:szCs w:val="21"/>
              </w:rPr>
            </w:pPr>
            <w:r>
              <w:rPr>
                <w:rFonts w:hint="eastAsia" w:ascii="宋体" w:hAnsi="宋体" w:cs="宋体"/>
                <w:szCs w:val="21"/>
              </w:rPr>
              <w:t>履行合同的地点：</w:t>
            </w:r>
            <w:r>
              <w:rPr>
                <w:rFonts w:hint="eastAsia" w:ascii="宋体" w:hAnsi="宋体" w:cs="宋体"/>
                <w:szCs w:val="21"/>
                <w:u w:val="single"/>
              </w:rPr>
              <w:t>平江县文化旅游广电体育局</w:t>
            </w:r>
          </w:p>
          <w:p>
            <w:pPr>
              <w:adjustRightInd w:val="0"/>
              <w:snapToGrid w:val="0"/>
              <w:spacing w:beforeLines="50"/>
              <w:rPr>
                <w:rFonts w:ascii="宋体" w:hAnsi="宋体" w:cs="宋体"/>
                <w:szCs w:val="21"/>
              </w:rPr>
            </w:pPr>
            <w:r>
              <w:rPr>
                <w:rFonts w:hint="eastAsia" w:ascii="宋体" w:hAnsi="宋体" w:cs="宋体"/>
                <w:szCs w:val="21"/>
              </w:rPr>
              <w:t>履行合同的方式：</w:t>
            </w:r>
            <w:r>
              <w:rPr>
                <w:rFonts w:hint="eastAsia" w:ascii="宋体" w:hAnsi="宋体" w:cs="宋体"/>
                <w:szCs w:val="21"/>
                <w:u w:val="single"/>
              </w:rPr>
              <w:t>投标人按招标文件要求和投标文件的承诺履行合同</w:t>
            </w:r>
            <w:r>
              <w:rPr>
                <w:rFonts w:hint="eastAsia" w:ascii="宋体" w:hAnsi="宋体" w:cs="宋体"/>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第三章第8.2(1) 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szCs w:val="21"/>
              </w:rPr>
              <w:t>★</w:t>
            </w:r>
            <w:r>
              <w:rPr>
                <w:rFonts w:hint="eastAsia" w:ascii="宋体" w:hAnsi="宋体" w:cs="宋体"/>
                <w:szCs w:val="21"/>
              </w:rPr>
              <w:t>质量保证期</w:t>
            </w:r>
          </w:p>
        </w:tc>
        <w:tc>
          <w:tcPr>
            <w:tcW w:w="4893" w:type="dxa"/>
            <w:gridSpan w:val="2"/>
            <w:vAlign w:val="center"/>
          </w:tcPr>
          <w:p>
            <w:pPr>
              <w:autoSpaceDE w:val="0"/>
              <w:autoSpaceDN w:val="0"/>
              <w:adjustRightInd w:val="0"/>
              <w:snapToGrid w:val="0"/>
              <w:spacing w:beforeLines="50" w:line="360" w:lineRule="auto"/>
              <w:ind w:firstLine="37" w:firstLineChars="18"/>
              <w:rPr>
                <w:rFonts w:ascii="宋体" w:hAnsi="宋体" w:cs="宋体"/>
                <w:szCs w:val="21"/>
              </w:rPr>
            </w:pPr>
            <w:r>
              <w:rPr>
                <w:rFonts w:hint="eastAsia" w:ascii="宋体" w:hAnsi="宋体" w:cs="宋体"/>
                <w:szCs w:val="21"/>
              </w:rPr>
              <w:t>两年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tcBorders>
              <w:top w:val="nil"/>
            </w:tcBorders>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第三章第8.2(3) 款</w:t>
            </w:r>
          </w:p>
        </w:tc>
        <w:tc>
          <w:tcPr>
            <w:tcW w:w="2299" w:type="dxa"/>
            <w:gridSpan w:val="2"/>
            <w:tcBorders>
              <w:top w:val="nil"/>
            </w:tcBorders>
            <w:vAlign w:val="center"/>
          </w:tcPr>
          <w:p>
            <w:pPr>
              <w:adjustRightInd w:val="0"/>
              <w:snapToGrid w:val="0"/>
              <w:spacing w:beforeLines="50" w:line="300" w:lineRule="auto"/>
              <w:jc w:val="center"/>
              <w:rPr>
                <w:rFonts w:ascii="宋体" w:hAnsi="宋体" w:cs="宋体"/>
                <w:szCs w:val="21"/>
              </w:rPr>
            </w:pPr>
            <w:r>
              <w:rPr>
                <w:rFonts w:hint="eastAsia"/>
                <w:szCs w:val="21"/>
              </w:rPr>
              <w:t>★</w:t>
            </w:r>
            <w:r>
              <w:rPr>
                <w:rFonts w:hint="eastAsia" w:ascii="宋体" w:hAnsi="宋体" w:cs="宋体"/>
                <w:szCs w:val="21"/>
              </w:rPr>
              <w:t>响应时间</w:t>
            </w:r>
          </w:p>
        </w:tc>
        <w:tc>
          <w:tcPr>
            <w:tcW w:w="4893" w:type="dxa"/>
            <w:gridSpan w:val="2"/>
            <w:vAlign w:val="center"/>
          </w:tcPr>
          <w:p>
            <w:pPr>
              <w:adjustRightInd w:val="0"/>
              <w:snapToGrid w:val="0"/>
              <w:spacing w:beforeLines="50" w:line="360" w:lineRule="auto"/>
              <w:ind w:left="39"/>
              <w:rPr>
                <w:rFonts w:ascii="宋体" w:hAnsi="宋体" w:cs="宋体"/>
                <w:szCs w:val="21"/>
              </w:rPr>
            </w:pPr>
            <w:r>
              <w:rPr>
                <w:rFonts w:hint="eastAsia" w:ascii="宋体" w:hAnsi="宋体" w:cs="宋体"/>
                <w:szCs w:val="21"/>
              </w:rPr>
              <w:t>24小时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第三章第11.5</w:t>
            </w:r>
            <w:r>
              <w:rPr>
                <w:rFonts w:hint="eastAsia" w:ascii="宋体" w:hAnsi="宋体" w:cs="宋体"/>
                <w:kern w:val="0"/>
                <w:szCs w:val="21"/>
                <w:lang w:val="zh-CN"/>
              </w:rPr>
              <w:t>条</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合同价款支付方式</w:t>
            </w:r>
            <w:r>
              <w:rPr>
                <w:rFonts w:hint="eastAsia" w:ascii="宋体" w:hAnsi="宋体" w:cs="宋体"/>
                <w:bCs/>
                <w:szCs w:val="21"/>
              </w:rPr>
              <w:t>和条件</w:t>
            </w:r>
          </w:p>
        </w:tc>
        <w:tc>
          <w:tcPr>
            <w:tcW w:w="4893" w:type="dxa"/>
            <w:gridSpan w:val="2"/>
            <w:vAlign w:val="center"/>
          </w:tcPr>
          <w:p>
            <w:pPr>
              <w:snapToGrid w:val="0"/>
              <w:rPr>
                <w:rFonts w:ascii="宋体" w:hAnsi="宋体" w:cs="宋体"/>
                <w:szCs w:val="21"/>
              </w:rPr>
            </w:pPr>
            <w:r>
              <w:rPr>
                <w:rFonts w:hint="eastAsia" w:ascii="宋体" w:hAnsi="宋体"/>
                <w:szCs w:val="21"/>
              </w:rPr>
              <w:t>具体的合同价款支付方式和条件由中标人与采购人在采购合同中明确订立。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第三章第12.2(3) 款</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伴随服务</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u w:val="single"/>
              </w:rPr>
              <w:t xml:space="preserve">  / </w:t>
            </w:r>
            <w:r>
              <w:rPr>
                <w:rFonts w:hint="eastAsia" w:ascii="宋体" w:hAnsi="宋体" w:cs="宋体"/>
                <w:szCs w:val="21"/>
              </w:rPr>
              <w:t>，或第八章“技术参数及要求”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1" w:hRule="atLeast"/>
        </w:trPr>
        <w:tc>
          <w:tcPr>
            <w:tcW w:w="2147" w:type="dxa"/>
            <w:vAlign w:val="center"/>
          </w:tcPr>
          <w:p>
            <w:pPr>
              <w:adjustRightInd w:val="0"/>
              <w:snapToGrid w:val="0"/>
              <w:spacing w:beforeLines="50" w:line="300" w:lineRule="auto"/>
              <w:jc w:val="center"/>
              <w:rPr>
                <w:rFonts w:ascii="宋体" w:hAnsi="宋体" w:cs="宋体"/>
                <w:bCs/>
                <w:szCs w:val="21"/>
              </w:rPr>
            </w:pPr>
            <w:r>
              <w:rPr>
                <w:rFonts w:hint="eastAsia" w:ascii="宋体" w:hAnsi="宋体" w:cs="宋体"/>
                <w:szCs w:val="21"/>
              </w:rPr>
              <w:t>第三章第19.2</w:t>
            </w:r>
            <w:r>
              <w:rPr>
                <w:rFonts w:hint="eastAsia" w:ascii="宋体" w:hAnsi="宋体" w:cs="宋体"/>
                <w:kern w:val="0"/>
                <w:szCs w:val="21"/>
                <w:lang w:val="zh-CN"/>
              </w:rPr>
              <w:t>条</w:t>
            </w:r>
          </w:p>
        </w:tc>
        <w:tc>
          <w:tcPr>
            <w:tcW w:w="2299" w:type="dxa"/>
            <w:gridSpan w:val="2"/>
            <w:vAlign w:val="center"/>
          </w:tcPr>
          <w:p>
            <w:pPr>
              <w:adjustRightInd w:val="0"/>
              <w:snapToGrid w:val="0"/>
              <w:spacing w:beforeLines="50" w:line="300" w:lineRule="auto"/>
              <w:jc w:val="center"/>
              <w:rPr>
                <w:rFonts w:ascii="宋体" w:hAnsi="宋体" w:cs="宋体"/>
                <w:bCs/>
                <w:szCs w:val="21"/>
              </w:rPr>
            </w:pPr>
            <w:r>
              <w:rPr>
                <w:rFonts w:hint="eastAsia" w:ascii="宋体" w:hAnsi="宋体" w:cs="宋体"/>
                <w:szCs w:val="21"/>
              </w:rPr>
              <w:t>解决争议的方式</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 诉讼</w:t>
            </w:r>
          </w:p>
          <w:p>
            <w:pPr>
              <w:adjustRightInd w:val="0"/>
              <w:snapToGrid w:val="0"/>
              <w:spacing w:beforeLines="50" w:line="360" w:lineRule="auto"/>
              <w:rPr>
                <w:rFonts w:ascii="宋体" w:hAnsi="宋体" w:cs="宋体"/>
                <w:szCs w:val="21"/>
              </w:rPr>
            </w:pPr>
            <w:r>
              <w:rPr>
                <w:rFonts w:ascii="Arial" w:hAnsi="Arial" w:cs="Arial"/>
                <w:szCs w:val="21"/>
              </w:rPr>
              <w:t>√</w:t>
            </w:r>
            <w:r>
              <w:rPr>
                <w:rFonts w:hint="eastAsia" w:ascii="宋体" w:hAnsi="宋体" w:cs="宋体"/>
                <w:szCs w:val="21"/>
              </w:rPr>
              <w:t xml:space="preserve">  仲裁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1" w:hRule="atLeast"/>
        </w:trPr>
        <w:tc>
          <w:tcPr>
            <w:tcW w:w="2147" w:type="dxa"/>
            <w:vAlign w:val="center"/>
          </w:tcPr>
          <w:p>
            <w:pPr>
              <w:adjustRightInd w:val="0"/>
              <w:snapToGrid w:val="0"/>
              <w:spacing w:beforeLines="50" w:line="300" w:lineRule="auto"/>
              <w:jc w:val="center"/>
              <w:rPr>
                <w:rFonts w:ascii="宋体" w:hAnsi="宋体" w:cs="宋体"/>
                <w:szCs w:val="21"/>
              </w:rPr>
            </w:pPr>
            <w:r>
              <w:rPr>
                <w:rFonts w:hint="eastAsia" w:ascii="宋体" w:hAnsi="宋体" w:cs="宋体"/>
                <w:szCs w:val="21"/>
              </w:rPr>
              <w:t>第三章第22.1</w:t>
            </w:r>
            <w:r>
              <w:rPr>
                <w:rFonts w:hint="eastAsia" w:ascii="宋体" w:hAnsi="宋体" w:cs="宋体"/>
                <w:kern w:val="0"/>
                <w:szCs w:val="21"/>
                <w:lang w:val="zh-CN"/>
              </w:rPr>
              <w:t>条</w:t>
            </w:r>
          </w:p>
        </w:tc>
        <w:tc>
          <w:tcPr>
            <w:tcW w:w="2299" w:type="dxa"/>
            <w:gridSpan w:val="2"/>
            <w:vAlign w:val="center"/>
          </w:tcPr>
          <w:p>
            <w:pPr>
              <w:adjustRightInd w:val="0"/>
              <w:snapToGrid w:val="0"/>
              <w:spacing w:beforeLines="50" w:line="300" w:lineRule="auto"/>
              <w:jc w:val="center"/>
              <w:rPr>
                <w:rFonts w:ascii="宋体" w:hAnsi="宋体" w:cs="宋体"/>
                <w:szCs w:val="21"/>
              </w:rPr>
            </w:pPr>
            <w:r>
              <w:rPr>
                <w:rFonts w:hint="eastAsia" w:ascii="宋体" w:hAnsi="宋体" w:cs="宋体"/>
                <w:bCs/>
                <w:szCs w:val="21"/>
              </w:rPr>
              <w:t>合同未尽事项</w:t>
            </w:r>
          </w:p>
        </w:tc>
        <w:tc>
          <w:tcPr>
            <w:tcW w:w="4893" w:type="dxa"/>
            <w:gridSpan w:val="2"/>
            <w:vAlign w:val="center"/>
          </w:tcPr>
          <w:p>
            <w:pPr>
              <w:adjustRightInd w:val="0"/>
              <w:snapToGrid w:val="0"/>
              <w:spacing w:beforeLines="50" w:line="360" w:lineRule="auto"/>
              <w:rPr>
                <w:rFonts w:ascii="宋体" w:hAnsi="宋体" w:cs="宋体"/>
                <w:szCs w:val="21"/>
              </w:rPr>
            </w:pPr>
            <w:r>
              <w:rPr>
                <w:rFonts w:hint="eastAsia" w:ascii="宋体" w:hAnsi="宋体" w:cs="宋体"/>
                <w:szCs w:val="21"/>
              </w:rPr>
              <w:t>协商解决</w:t>
            </w:r>
          </w:p>
        </w:tc>
      </w:tr>
    </w:tbl>
    <w:p>
      <w:pPr>
        <w:spacing w:line="340" w:lineRule="exact"/>
        <w:ind w:right="-109" w:rightChars="-52"/>
        <w:rPr>
          <w:rFonts w:ascii="仿宋" w:hAnsi="仿宋" w:eastAsia="仿宋" w:cs="仿宋"/>
          <w:b/>
          <w:sz w:val="32"/>
          <w:szCs w:val="32"/>
        </w:rPr>
      </w:pPr>
    </w:p>
    <w:p>
      <w:pPr>
        <w:tabs>
          <w:tab w:val="left" w:pos="420"/>
          <w:tab w:val="left" w:pos="840"/>
          <w:tab w:val="left" w:pos="1260"/>
          <w:tab w:val="left" w:pos="1680"/>
          <w:tab w:val="left" w:pos="4800"/>
        </w:tabs>
        <w:spacing w:line="400" w:lineRule="exact"/>
        <w:jc w:val="center"/>
        <w:rPr>
          <w:rFonts w:ascii="宋体" w:hAnsi="宋体"/>
          <w:b/>
          <w:sz w:val="28"/>
          <w:szCs w:val="28"/>
        </w:rPr>
      </w:pPr>
      <w:bookmarkStart w:id="391" w:name="_Toc31425_WPSOffice_Level2"/>
      <w:bookmarkStart w:id="392" w:name="_Toc17977_WPSOffice_Level2"/>
      <w:bookmarkStart w:id="393" w:name="_Toc23184_WPSOffice_Level2"/>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p>
    <w:p>
      <w:pPr>
        <w:tabs>
          <w:tab w:val="left" w:pos="420"/>
          <w:tab w:val="left" w:pos="840"/>
          <w:tab w:val="left" w:pos="1260"/>
          <w:tab w:val="left" w:pos="1680"/>
          <w:tab w:val="left" w:pos="4800"/>
        </w:tabs>
        <w:spacing w:line="400" w:lineRule="exact"/>
        <w:rPr>
          <w:rFonts w:ascii="宋体" w:hAnsi="宋体"/>
          <w:b/>
          <w:sz w:val="28"/>
          <w:szCs w:val="28"/>
        </w:rPr>
      </w:pPr>
    </w:p>
    <w:p>
      <w:pPr>
        <w:tabs>
          <w:tab w:val="left" w:pos="420"/>
          <w:tab w:val="left" w:pos="840"/>
          <w:tab w:val="left" w:pos="1260"/>
          <w:tab w:val="left" w:pos="1680"/>
          <w:tab w:val="left" w:pos="4800"/>
        </w:tabs>
        <w:spacing w:line="400" w:lineRule="exact"/>
        <w:jc w:val="center"/>
        <w:rPr>
          <w:rFonts w:ascii="宋体" w:hAnsi="宋体"/>
          <w:b/>
          <w:sz w:val="28"/>
          <w:szCs w:val="28"/>
        </w:rPr>
      </w:pPr>
      <w:r>
        <w:rPr>
          <w:rFonts w:hint="eastAsia" w:ascii="宋体" w:hAnsi="宋体"/>
          <w:b/>
          <w:sz w:val="28"/>
          <w:szCs w:val="28"/>
        </w:rPr>
        <w:t>《评标因素和标准表》</w:t>
      </w:r>
      <w:bookmarkEnd w:id="391"/>
      <w:bookmarkEnd w:id="392"/>
      <w:bookmarkEnd w:id="393"/>
    </w:p>
    <w:p>
      <w:pPr>
        <w:tabs>
          <w:tab w:val="left" w:pos="420"/>
          <w:tab w:val="left" w:pos="840"/>
          <w:tab w:val="left" w:pos="1260"/>
          <w:tab w:val="left" w:pos="1680"/>
          <w:tab w:val="left" w:pos="4800"/>
        </w:tabs>
        <w:spacing w:line="400" w:lineRule="exact"/>
        <w:jc w:val="center"/>
        <w:rPr>
          <w:rFonts w:ascii="宋体" w:hAnsi="宋体"/>
          <w:b/>
          <w:sz w:val="28"/>
          <w:szCs w:val="28"/>
        </w:rPr>
      </w:pPr>
    </w:p>
    <w:p>
      <w:pPr>
        <w:adjustRightInd w:val="0"/>
        <w:snapToGrid w:val="0"/>
        <w:spacing w:line="300" w:lineRule="auto"/>
        <w:ind w:right="-109" w:rightChars="-52"/>
        <w:rPr>
          <w:rFonts w:ascii="仿宋" w:hAnsi="仿宋" w:eastAsia="仿宋" w:cs="仿宋"/>
          <w:b/>
          <w:sz w:val="32"/>
          <w:szCs w:val="32"/>
        </w:rPr>
      </w:pPr>
      <w:r>
        <w:rPr>
          <w:rFonts w:hint="eastAsia" w:ascii="宋体" w:hAnsi="宋体"/>
          <w:b/>
          <w:bCs/>
          <w:sz w:val="24"/>
        </w:rPr>
        <w:t>(1) 资格性检查。</w:t>
      </w:r>
      <w:r>
        <w:rPr>
          <w:rFonts w:hint="eastAsia" w:ascii="宋体" w:hAnsi="宋体"/>
          <w:sz w:val="24"/>
        </w:rPr>
        <w:t>根据法律法规和招标文件的规定，对投标文件中的资格证明、投标保证金等进行审查，以确定投标人是否具备投标资格。</w:t>
      </w:r>
    </w:p>
    <w:p>
      <w:pPr>
        <w:pStyle w:val="5"/>
        <w:rPr>
          <w:rFonts w:ascii="黑体" w:hAnsi="黑体" w:cs="黑体"/>
          <w:sz w:val="30"/>
          <w:szCs w:val="30"/>
        </w:rPr>
      </w:pPr>
      <w:bookmarkStart w:id="394" w:name="_Toc25929_WPSOffice_Level3"/>
      <w:bookmarkStart w:id="395" w:name="_Toc13690_WPSOffice_Level3"/>
      <w:bookmarkStart w:id="396" w:name="_Toc16815_WPSOffice_Level3"/>
      <w:r>
        <w:rPr>
          <w:rFonts w:hint="eastAsia" w:ascii="黑体" w:hAnsi="黑体" w:cs="黑体"/>
          <w:sz w:val="30"/>
          <w:szCs w:val="30"/>
        </w:rPr>
        <w:t>资格性审查表</w:t>
      </w:r>
      <w:bookmarkEnd w:id="394"/>
      <w:bookmarkEnd w:id="395"/>
      <w:bookmarkEnd w:id="396"/>
    </w:p>
    <w:tbl>
      <w:tblPr>
        <w:tblStyle w:val="40"/>
        <w:tblW w:w="8764" w:type="dxa"/>
        <w:jc w:val="center"/>
        <w:tblInd w:w="0" w:type="dxa"/>
        <w:tblLayout w:type="fixed"/>
        <w:tblCellMar>
          <w:top w:w="0" w:type="dxa"/>
          <w:left w:w="108" w:type="dxa"/>
          <w:bottom w:w="0" w:type="dxa"/>
          <w:right w:w="108" w:type="dxa"/>
        </w:tblCellMar>
      </w:tblPr>
      <w:tblGrid>
        <w:gridCol w:w="670"/>
        <w:gridCol w:w="4380"/>
        <w:gridCol w:w="1893"/>
        <w:gridCol w:w="607"/>
        <w:gridCol w:w="607"/>
        <w:gridCol w:w="607"/>
      </w:tblGrid>
      <w:tr>
        <w:tblPrEx>
          <w:tblLayout w:type="fixed"/>
          <w:tblCellMar>
            <w:top w:w="0" w:type="dxa"/>
            <w:left w:w="108" w:type="dxa"/>
            <w:bottom w:w="0" w:type="dxa"/>
            <w:right w:w="108" w:type="dxa"/>
          </w:tblCellMar>
        </w:tblPrEx>
        <w:trPr>
          <w:trHeight w:val="285" w:hRule="atLeast"/>
          <w:jc w:val="center"/>
        </w:trPr>
        <w:tc>
          <w:tcPr>
            <w:tcW w:w="670"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4380" w:type="dxa"/>
            <w:vMerge w:val="restart"/>
            <w:tcBorders>
              <w:top w:val="single" w:color="auto" w:sz="4" w:space="0"/>
              <w:left w:val="nil"/>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资格性审查内容</w:t>
            </w:r>
          </w:p>
        </w:tc>
        <w:tc>
          <w:tcPr>
            <w:tcW w:w="1893" w:type="dxa"/>
            <w:vMerge w:val="restart"/>
            <w:tcBorders>
              <w:top w:val="single" w:color="auto" w:sz="4" w:space="0"/>
              <w:left w:val="nil"/>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合格标准</w:t>
            </w:r>
          </w:p>
        </w:tc>
        <w:tc>
          <w:tcPr>
            <w:tcW w:w="182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投标人</w:t>
            </w:r>
          </w:p>
        </w:tc>
      </w:tr>
      <w:tr>
        <w:tblPrEx>
          <w:tblLayout w:type="fixed"/>
          <w:tblCellMar>
            <w:top w:w="0" w:type="dxa"/>
            <w:left w:w="108" w:type="dxa"/>
            <w:bottom w:w="0" w:type="dxa"/>
            <w:right w:w="108" w:type="dxa"/>
          </w:tblCellMar>
        </w:tblPrEx>
        <w:trPr>
          <w:trHeight w:val="225" w:hRule="atLeast"/>
          <w:jc w:val="center"/>
        </w:trPr>
        <w:tc>
          <w:tcPr>
            <w:tcW w:w="670"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b/>
                <w:kern w:val="0"/>
                <w:szCs w:val="21"/>
              </w:rPr>
            </w:pPr>
          </w:p>
        </w:tc>
        <w:tc>
          <w:tcPr>
            <w:tcW w:w="4380" w:type="dxa"/>
            <w:vMerge w:val="continue"/>
            <w:tcBorders>
              <w:left w:val="nil"/>
              <w:bottom w:val="single" w:color="auto" w:sz="4" w:space="0"/>
              <w:right w:val="single" w:color="auto" w:sz="4" w:space="0"/>
            </w:tcBorders>
            <w:vAlign w:val="center"/>
          </w:tcPr>
          <w:p>
            <w:pPr>
              <w:widowControl/>
              <w:jc w:val="center"/>
              <w:rPr>
                <w:rFonts w:ascii="宋体" w:hAnsi="宋体" w:cs="宋体"/>
                <w:b/>
                <w:kern w:val="0"/>
                <w:szCs w:val="21"/>
              </w:rPr>
            </w:pPr>
          </w:p>
        </w:tc>
        <w:tc>
          <w:tcPr>
            <w:tcW w:w="1893" w:type="dxa"/>
            <w:vMerge w:val="continue"/>
            <w:tcBorders>
              <w:left w:val="nil"/>
              <w:bottom w:val="single" w:color="auto" w:sz="4" w:space="0"/>
              <w:right w:val="single" w:color="auto" w:sz="4" w:space="0"/>
            </w:tcBorders>
            <w:vAlign w:val="center"/>
          </w:tcPr>
          <w:p>
            <w:pPr>
              <w:widowControl/>
              <w:jc w:val="center"/>
              <w:rPr>
                <w:rFonts w:ascii="宋体" w:hAnsi="宋体" w:cs="宋体"/>
                <w:b/>
                <w:kern w:val="0"/>
                <w:szCs w:val="21"/>
              </w:rPr>
            </w:pPr>
          </w:p>
        </w:tc>
        <w:tc>
          <w:tcPr>
            <w:tcW w:w="6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kern w:val="0"/>
                <w:szCs w:val="21"/>
              </w:rPr>
            </w:pPr>
          </w:p>
        </w:tc>
        <w:tc>
          <w:tcPr>
            <w:tcW w:w="6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6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705" w:hRule="atLeast"/>
          <w:jc w:val="center"/>
        </w:trPr>
        <w:tc>
          <w:tcPr>
            <w:tcW w:w="670" w:type="dxa"/>
            <w:tcBorders>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kern w:val="0"/>
                <w:szCs w:val="21"/>
              </w:rPr>
            </w:pPr>
            <w:r>
              <w:rPr>
                <w:rFonts w:hint="eastAsia" w:ascii="宋体" w:hAnsi="宋体" w:cs="宋体"/>
                <w:kern w:val="0"/>
                <w:szCs w:val="21"/>
              </w:rPr>
              <w:t>1</w:t>
            </w:r>
          </w:p>
        </w:tc>
        <w:tc>
          <w:tcPr>
            <w:tcW w:w="4380" w:type="dxa"/>
            <w:tcBorders>
              <w:left w:val="nil"/>
              <w:bottom w:val="single" w:color="auto" w:sz="4" w:space="0"/>
              <w:right w:val="single" w:color="auto" w:sz="4" w:space="0"/>
            </w:tcBorders>
            <w:vAlign w:val="center"/>
          </w:tcPr>
          <w:p>
            <w:pPr>
              <w:widowControl/>
              <w:spacing w:line="280" w:lineRule="exact"/>
              <w:rPr>
                <w:rFonts w:ascii="宋体" w:hAnsi="宋体" w:cs="宋体"/>
                <w:b/>
                <w:kern w:val="0"/>
                <w:szCs w:val="21"/>
              </w:rPr>
            </w:pPr>
            <w:r>
              <w:rPr>
                <w:rFonts w:hint="eastAsia" w:ascii="宋体" w:hAnsi="宋体" w:cs="宋体"/>
                <w:kern w:val="0"/>
                <w:szCs w:val="21"/>
              </w:rPr>
              <w:t>投标文件的密封、签署、盖章</w:t>
            </w:r>
          </w:p>
        </w:tc>
        <w:tc>
          <w:tcPr>
            <w:tcW w:w="1893" w:type="dxa"/>
            <w:tcBorders>
              <w:left w:val="nil"/>
              <w:bottom w:val="single" w:color="auto" w:sz="4" w:space="0"/>
              <w:right w:val="single" w:color="auto" w:sz="4" w:space="0"/>
            </w:tcBorders>
            <w:vAlign w:val="center"/>
          </w:tcPr>
          <w:p>
            <w:pPr>
              <w:widowControl/>
              <w:spacing w:line="280" w:lineRule="exact"/>
              <w:rPr>
                <w:rFonts w:ascii="宋体" w:hAnsi="宋体" w:cs="宋体"/>
                <w:b/>
                <w:kern w:val="0"/>
                <w:szCs w:val="21"/>
              </w:rPr>
            </w:pPr>
            <w:r>
              <w:rPr>
                <w:rFonts w:hint="eastAsia" w:ascii="宋体" w:hAnsi="宋体" w:cs="宋体"/>
                <w:kern w:val="0"/>
                <w:szCs w:val="21"/>
              </w:rPr>
              <w:t>是否按招标文件要求密封、签署、盖章。</w:t>
            </w:r>
          </w:p>
        </w:tc>
        <w:tc>
          <w:tcPr>
            <w:tcW w:w="60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kern w:val="0"/>
                <w:szCs w:val="21"/>
              </w:rPr>
            </w:pPr>
          </w:p>
        </w:tc>
        <w:tc>
          <w:tcPr>
            <w:tcW w:w="60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2</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cs="宋体"/>
                <w:kern w:val="0"/>
                <w:szCs w:val="21"/>
              </w:rPr>
            </w:pPr>
            <w:r>
              <w:rPr>
                <w:rFonts w:ascii="宋体" w:hAnsi="宋体"/>
                <w:szCs w:val="21"/>
              </w:rPr>
              <w:t>法定代表人</w:t>
            </w:r>
            <w:r>
              <w:rPr>
                <w:rFonts w:hint="eastAsia" w:ascii="宋体" w:hAnsi="宋体"/>
                <w:szCs w:val="21"/>
              </w:rPr>
              <w:t>证明文件及身份证，</w:t>
            </w:r>
            <w:r>
              <w:rPr>
                <w:rFonts w:ascii="宋体" w:hAnsi="宋体"/>
                <w:szCs w:val="21"/>
              </w:rPr>
              <w:t>或法人授权委托书</w:t>
            </w:r>
            <w:r>
              <w:rPr>
                <w:rFonts w:hint="eastAsia" w:ascii="宋体" w:hAnsi="宋体"/>
                <w:szCs w:val="21"/>
              </w:rPr>
              <w:t>及被委托人身份证</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查验原件。</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90"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3</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cs="宋体"/>
                <w:kern w:val="0"/>
                <w:szCs w:val="21"/>
              </w:rPr>
            </w:pPr>
            <w:r>
              <w:rPr>
                <w:rFonts w:hint="eastAsia" w:ascii="宋体" w:hAnsi="宋体" w:cs="宋体"/>
                <w:kern w:val="0"/>
                <w:szCs w:val="21"/>
              </w:rPr>
              <w:t>投标保证金</w:t>
            </w:r>
          </w:p>
        </w:tc>
        <w:tc>
          <w:tcPr>
            <w:tcW w:w="1893" w:type="dxa"/>
            <w:tcBorders>
              <w:top w:val="nil"/>
              <w:left w:val="nil"/>
              <w:bottom w:val="single" w:color="auto" w:sz="4" w:space="0"/>
              <w:right w:val="single" w:color="auto" w:sz="4" w:space="0"/>
            </w:tcBorders>
            <w:vAlign w:val="center"/>
          </w:tcPr>
          <w:p>
            <w:pPr>
              <w:widowControl/>
              <w:spacing w:line="280" w:lineRule="exact"/>
              <w:rPr>
                <w:rFonts w:ascii="宋体" w:hAnsi="宋体" w:cs="宋体"/>
                <w:kern w:val="0"/>
                <w:szCs w:val="21"/>
              </w:rPr>
            </w:pPr>
            <w:r>
              <w:rPr>
                <w:rFonts w:hint="eastAsia" w:ascii="宋体" w:hAnsi="宋体" w:cs="宋体"/>
                <w:kern w:val="0"/>
                <w:szCs w:val="21"/>
              </w:rPr>
              <w:t>查验转账回单原件或复印件。</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4</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cs="宋体"/>
                <w:kern w:val="0"/>
                <w:szCs w:val="21"/>
              </w:rPr>
            </w:pPr>
            <w:r>
              <w:rPr>
                <w:rFonts w:ascii="宋体" w:hAnsi="宋体"/>
                <w:szCs w:val="21"/>
              </w:rPr>
              <w:t>营业执照副本</w:t>
            </w:r>
            <w:r>
              <w:rPr>
                <w:rFonts w:hint="eastAsia" w:ascii="宋体" w:hAnsi="宋体"/>
                <w:szCs w:val="21"/>
              </w:rPr>
              <w:t>、</w:t>
            </w:r>
            <w:r>
              <w:rPr>
                <w:rFonts w:ascii="宋体" w:hAnsi="宋体"/>
                <w:szCs w:val="21"/>
              </w:rPr>
              <w:t>税务登记证副本</w:t>
            </w:r>
            <w:r>
              <w:rPr>
                <w:rFonts w:hint="eastAsia" w:ascii="宋体" w:hAnsi="宋体"/>
                <w:szCs w:val="21"/>
              </w:rPr>
              <w:t>、</w:t>
            </w:r>
            <w:r>
              <w:rPr>
                <w:rFonts w:ascii="宋体" w:hAnsi="宋体"/>
                <w:szCs w:val="21"/>
              </w:rPr>
              <w:t>组织机构代码证</w:t>
            </w:r>
            <w:r>
              <w:rPr>
                <w:rFonts w:hint="eastAsia" w:ascii="宋体" w:hAnsi="宋体"/>
                <w:szCs w:val="21"/>
              </w:rPr>
              <w:t>（或“三证合一”/“五证合一”的</w:t>
            </w:r>
            <w:r>
              <w:rPr>
                <w:rFonts w:ascii="宋体" w:hAnsi="宋体"/>
                <w:szCs w:val="21"/>
              </w:rPr>
              <w:t>营业执照副本</w:t>
            </w:r>
            <w:r>
              <w:rPr>
                <w:rFonts w:hint="eastAsia" w:ascii="宋体" w:hAnsi="宋体"/>
                <w:szCs w:val="21"/>
              </w:rPr>
              <w:t>）</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szCs w:val="21"/>
              </w:rPr>
            </w:pPr>
            <w:r>
              <w:rPr>
                <w:rFonts w:hint="eastAsia" w:ascii="宋体" w:hAnsi="宋体"/>
                <w:szCs w:val="21"/>
              </w:rPr>
              <w:t>查验原件。</w:t>
            </w:r>
          </w:p>
          <w:p>
            <w:pPr>
              <w:widowControl/>
              <w:spacing w:line="280" w:lineRule="exact"/>
              <w:jc w:val="center"/>
              <w:rPr>
                <w:rFonts w:ascii="宋体" w:hAnsi="宋体" w:cs="宋体"/>
                <w:kern w:val="0"/>
                <w:szCs w:val="21"/>
              </w:rPr>
            </w:pPr>
            <w:r>
              <w:rPr>
                <w:rFonts w:hint="eastAsia" w:ascii="宋体" w:hAnsi="宋体"/>
                <w:szCs w:val="21"/>
              </w:rPr>
              <w:t>要求：真实有效。</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5</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szCs w:val="21"/>
              </w:rPr>
            </w:pPr>
            <w:r>
              <w:rPr>
                <w:rFonts w:hint="eastAsia" w:ascii="宋体" w:hAnsi="宋体"/>
                <w:szCs w:val="21"/>
              </w:rPr>
              <w:t>依法缴纳税收和社会保险费的证明材料：《税务登记证》和《社会保险登记证》的复印件，或者近三个月依法缴纳税收和社会保险费的证明（纳税及缴费凭证复印件），或者委托他人缴纳的委托代办协议和近三个月缴纳证明（收据复印件），或者法定征收机关出具的依法免缴税费的证明原件</w:t>
            </w:r>
          </w:p>
        </w:tc>
        <w:tc>
          <w:tcPr>
            <w:tcW w:w="1893" w:type="dxa"/>
            <w:tcBorders>
              <w:top w:val="nil"/>
              <w:left w:val="nil"/>
              <w:bottom w:val="single" w:color="auto" w:sz="4" w:space="0"/>
              <w:right w:val="single" w:color="auto" w:sz="4" w:space="0"/>
            </w:tcBorders>
            <w:vAlign w:val="center"/>
          </w:tcPr>
          <w:p>
            <w:pPr>
              <w:widowControl/>
              <w:spacing w:line="280" w:lineRule="exact"/>
              <w:rPr>
                <w:rFonts w:ascii="宋体" w:hAnsi="宋体"/>
                <w:szCs w:val="21"/>
              </w:rPr>
            </w:pPr>
            <w:r>
              <w:rPr>
                <w:rFonts w:hint="eastAsia" w:ascii="宋体" w:hAnsi="宋体"/>
                <w:szCs w:val="21"/>
              </w:rPr>
              <w:t>要求：真实有效。</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08"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6</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cs="宋体"/>
                <w:iCs/>
                <w:szCs w:val="21"/>
              </w:rPr>
            </w:pPr>
            <w:r>
              <w:rPr>
                <w:rFonts w:hint="eastAsia" w:ascii="宋体" w:hAnsi="宋体" w:cs="宋体"/>
                <w:iCs/>
                <w:szCs w:val="21"/>
              </w:rPr>
              <w:t>参加政府采购采购活动前三年内，在经营活动中没有重大违法记录的书面声明函</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szCs w:val="21"/>
              </w:rPr>
            </w:pPr>
            <w:r>
              <w:rPr>
                <w:rFonts w:hint="eastAsia" w:ascii="宋体" w:hAnsi="宋体"/>
                <w:szCs w:val="21"/>
              </w:rPr>
              <w:t>查验原件。</w:t>
            </w:r>
          </w:p>
          <w:p>
            <w:pPr>
              <w:widowControl/>
              <w:spacing w:line="280" w:lineRule="exact"/>
              <w:jc w:val="center"/>
              <w:rPr>
                <w:rFonts w:ascii="宋体" w:hAnsi="宋体"/>
                <w:szCs w:val="21"/>
              </w:rPr>
            </w:pPr>
            <w:r>
              <w:rPr>
                <w:rFonts w:hint="eastAsia" w:ascii="宋体" w:hAnsi="宋体"/>
                <w:szCs w:val="21"/>
              </w:rPr>
              <w:t>要求：自行声明。</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7</w:t>
            </w:r>
          </w:p>
        </w:tc>
        <w:tc>
          <w:tcPr>
            <w:tcW w:w="4380" w:type="dxa"/>
            <w:tcBorders>
              <w:top w:val="nil"/>
              <w:left w:val="nil"/>
              <w:bottom w:val="single" w:color="auto" w:sz="4" w:space="0"/>
              <w:right w:val="single" w:color="auto" w:sz="4" w:space="0"/>
            </w:tcBorders>
            <w:vAlign w:val="center"/>
          </w:tcPr>
          <w:p>
            <w:pPr>
              <w:widowControl/>
              <w:spacing w:line="280" w:lineRule="exact"/>
              <w:rPr>
                <w:rFonts w:ascii="宋体" w:hAnsi="宋体"/>
                <w:szCs w:val="21"/>
              </w:rPr>
            </w:pPr>
            <w:r>
              <w:rPr>
                <w:rFonts w:hint="eastAsia" w:ascii="宋体" w:hAnsi="宋体"/>
                <w:szCs w:val="21"/>
              </w:rPr>
              <w:t>投标人最近一个月内在“信用中国（www.creditchina.gov.cn）”或“国家企业信用信息公示系统（www.gsxt.gov.cn)”的查询中无重大失信等被禁止投标记录；提供查询结果截图打印件并加盖公章</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szCs w:val="21"/>
              </w:rPr>
            </w:pPr>
            <w:r>
              <w:rPr>
                <w:rFonts w:hint="eastAsia" w:ascii="宋体" w:hAnsi="宋体"/>
                <w:szCs w:val="21"/>
              </w:rPr>
              <w:t>查验网页截图。</w:t>
            </w:r>
          </w:p>
          <w:p>
            <w:pPr>
              <w:widowControl/>
              <w:spacing w:line="280" w:lineRule="exact"/>
              <w:jc w:val="center"/>
              <w:rPr>
                <w:rFonts w:ascii="宋体" w:hAnsi="宋体"/>
                <w:szCs w:val="21"/>
              </w:rPr>
            </w:pPr>
            <w:r>
              <w:rPr>
                <w:rFonts w:hint="eastAsia" w:ascii="宋体" w:hAnsi="宋体"/>
                <w:szCs w:val="21"/>
              </w:rPr>
              <w:t>要求：</w:t>
            </w:r>
            <w:r>
              <w:rPr>
                <w:rFonts w:hint="eastAsia" w:ascii="宋体" w:hAnsi="宋体" w:cs="宋体"/>
                <w:iCs/>
                <w:szCs w:val="21"/>
              </w:rPr>
              <w:t>真实有效。</w:t>
            </w: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78" w:hRule="atLeast"/>
          <w:jc w:val="center"/>
        </w:trPr>
        <w:tc>
          <w:tcPr>
            <w:tcW w:w="67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Cs w:val="21"/>
              </w:rPr>
            </w:pPr>
            <w:r>
              <w:rPr>
                <w:rFonts w:hint="eastAsia" w:ascii="宋体" w:hAnsi="宋体" w:cs="宋体"/>
                <w:kern w:val="0"/>
                <w:szCs w:val="21"/>
              </w:rPr>
              <w:t>结  论</w:t>
            </w:r>
          </w:p>
        </w:tc>
        <w:tc>
          <w:tcPr>
            <w:tcW w:w="6273"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c>
          <w:tcPr>
            <w:tcW w:w="60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Cs w:val="21"/>
              </w:rPr>
            </w:pPr>
          </w:p>
        </w:tc>
      </w:tr>
    </w:tbl>
    <w:p>
      <w:pPr>
        <w:spacing w:line="280" w:lineRule="exact"/>
        <w:rPr>
          <w:rFonts w:ascii="宋体" w:hAnsi="宋体"/>
          <w:szCs w:val="21"/>
        </w:rPr>
      </w:pPr>
    </w:p>
    <w:p>
      <w:pPr>
        <w:spacing w:line="280" w:lineRule="exact"/>
        <w:rPr>
          <w:rFonts w:ascii="宋体" w:hAnsi="宋体"/>
          <w:b/>
          <w:bCs/>
          <w:szCs w:val="21"/>
        </w:rPr>
      </w:pPr>
      <w:r>
        <w:rPr>
          <w:rFonts w:hint="eastAsia" w:ascii="宋体" w:hAnsi="宋体"/>
          <w:b/>
          <w:bCs/>
          <w:szCs w:val="21"/>
        </w:rPr>
        <w:t>注：1、投标人应将第2项手持一份，将以上其它需提供原件的资料密封，单独提交，密封袋封面需列明所有原件的详细清单；投标文件中应提供相应加盖公章的复印件。</w:t>
      </w:r>
    </w:p>
    <w:p>
      <w:pPr>
        <w:spacing w:line="280" w:lineRule="exact"/>
        <w:rPr>
          <w:rFonts w:ascii="仿宋" w:hAnsi="仿宋" w:eastAsia="仿宋" w:cs="仿宋"/>
          <w:b/>
          <w:szCs w:val="21"/>
        </w:rPr>
      </w:pPr>
      <w:r>
        <w:rPr>
          <w:rFonts w:hint="eastAsia" w:ascii="宋体" w:hAnsi="宋体"/>
          <w:b/>
          <w:bCs/>
          <w:szCs w:val="21"/>
        </w:rPr>
        <w:t xml:space="preserve">    2、投标人有一项资格证明未提交，或未按招标文件规定的密封、签署、盖章要求的，或资格证明有重大瑕疵，或提供虚假资格证明的，其结论为不合格，资格性审查结论不合格的投标人按照无效投标处理。</w:t>
      </w:r>
    </w:p>
    <w:p>
      <w:pPr>
        <w:rPr>
          <w:rFonts w:ascii="宋体" w:hAnsi="宋体"/>
          <w:b/>
          <w:bCs/>
          <w:sz w:val="24"/>
        </w:rPr>
      </w:pPr>
    </w:p>
    <w:p>
      <w:pPr>
        <w:rPr>
          <w:rFonts w:ascii="宋体" w:hAnsi="宋体"/>
          <w:b/>
          <w:bCs/>
          <w:sz w:val="24"/>
        </w:rPr>
      </w:pPr>
    </w:p>
    <w:p>
      <w:pPr>
        <w:rPr>
          <w:rFonts w:ascii="宋体" w:hAnsi="宋体"/>
          <w:b/>
          <w:bCs/>
          <w:sz w:val="24"/>
        </w:rPr>
      </w:pPr>
    </w:p>
    <w:p>
      <w:pPr>
        <w:rPr>
          <w:rFonts w:ascii="宋体" w:hAnsi="宋体"/>
          <w:b/>
          <w:bCs/>
          <w:sz w:val="24"/>
        </w:rPr>
      </w:pPr>
    </w:p>
    <w:p>
      <w:pPr>
        <w:adjustRightInd w:val="0"/>
        <w:snapToGrid w:val="0"/>
        <w:spacing w:line="300" w:lineRule="auto"/>
        <w:ind w:right="-109" w:rightChars="-52"/>
        <w:rPr>
          <w:rFonts w:ascii="宋体" w:hAnsi="宋体"/>
          <w:sz w:val="24"/>
        </w:rPr>
      </w:pPr>
      <w:r>
        <w:rPr>
          <w:rFonts w:hint="eastAsia" w:ascii="宋体" w:hAnsi="宋体"/>
          <w:b/>
          <w:bCs/>
          <w:sz w:val="24"/>
        </w:rPr>
        <w:t>(2) 符合性检查。</w:t>
      </w:r>
      <w:r>
        <w:rPr>
          <w:rFonts w:hint="eastAsia" w:ascii="宋体" w:hAnsi="宋体"/>
          <w:sz w:val="24"/>
        </w:rPr>
        <w:t>依据招标文件的规定，从投标文件的有效性、完整性和对招标文件的</w:t>
      </w:r>
    </w:p>
    <w:p>
      <w:pPr>
        <w:adjustRightInd w:val="0"/>
        <w:snapToGrid w:val="0"/>
        <w:spacing w:line="300" w:lineRule="auto"/>
        <w:ind w:right="-109" w:rightChars="-52"/>
        <w:rPr>
          <w:rFonts w:ascii="宋体" w:hAnsi="宋体"/>
          <w:sz w:val="24"/>
        </w:rPr>
      </w:pPr>
      <w:r>
        <w:rPr>
          <w:rFonts w:hint="eastAsia" w:ascii="宋体" w:hAnsi="宋体"/>
          <w:sz w:val="24"/>
        </w:rPr>
        <w:t>实质响应进行审查，以确定其投标文件是否符合招标文件要求。</w:t>
      </w:r>
    </w:p>
    <w:p>
      <w:pPr>
        <w:jc w:val="center"/>
        <w:rPr>
          <w:rFonts w:ascii="黑体" w:hAnsi="宋体" w:eastAsia="黑体"/>
          <w:b/>
          <w:sz w:val="16"/>
          <w:szCs w:val="30"/>
        </w:rPr>
      </w:pPr>
      <w:bookmarkStart w:id="397" w:name="_Toc3018_WPSOffice_Level3"/>
      <w:bookmarkStart w:id="398" w:name="_Toc1419_WPSOffice_Level3"/>
    </w:p>
    <w:p>
      <w:pPr>
        <w:pStyle w:val="5"/>
        <w:rPr>
          <w:rFonts w:ascii="黑体" w:hAnsi="黑体" w:cs="黑体"/>
          <w:sz w:val="30"/>
          <w:szCs w:val="30"/>
        </w:rPr>
      </w:pPr>
      <w:bookmarkStart w:id="399" w:name="_Toc13892_WPSOffice_Level3"/>
      <w:r>
        <w:rPr>
          <w:rFonts w:hint="eastAsia" w:ascii="黑体" w:hAnsi="黑体" w:cs="黑体"/>
          <w:sz w:val="30"/>
          <w:szCs w:val="30"/>
        </w:rPr>
        <w:t>符合性审查表</w:t>
      </w:r>
      <w:bookmarkEnd w:id="397"/>
      <w:bookmarkEnd w:id="398"/>
      <w:bookmarkEnd w:id="399"/>
    </w:p>
    <w:tbl>
      <w:tblPr>
        <w:tblStyle w:val="40"/>
        <w:tblW w:w="86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4636"/>
        <w:gridCol w:w="950"/>
        <w:gridCol w:w="978"/>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92" w:type="dxa"/>
            <w:vMerge w:val="restart"/>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4636" w:type="dxa"/>
            <w:vMerge w:val="restart"/>
            <w:vAlign w:val="center"/>
          </w:tcPr>
          <w:p>
            <w:pPr>
              <w:widowControl/>
              <w:jc w:val="center"/>
              <w:rPr>
                <w:rFonts w:ascii="宋体" w:hAnsi="宋体" w:cs="宋体"/>
                <w:b/>
                <w:kern w:val="0"/>
                <w:szCs w:val="21"/>
              </w:rPr>
            </w:pPr>
            <w:r>
              <w:rPr>
                <w:rFonts w:hint="eastAsia" w:ascii="宋体" w:hAnsi="宋体" w:cs="宋体"/>
                <w:b/>
                <w:kern w:val="0"/>
                <w:szCs w:val="21"/>
              </w:rPr>
              <w:t>符合性审查内容</w:t>
            </w:r>
          </w:p>
        </w:tc>
        <w:tc>
          <w:tcPr>
            <w:tcW w:w="2975" w:type="dxa"/>
            <w:gridSpan w:val="3"/>
            <w:vAlign w:val="center"/>
          </w:tcPr>
          <w:p>
            <w:pPr>
              <w:widowControl/>
              <w:jc w:val="center"/>
              <w:rPr>
                <w:rFonts w:ascii="宋体" w:hAnsi="宋体" w:cs="宋体"/>
                <w:b/>
                <w:kern w:val="0"/>
                <w:szCs w:val="21"/>
              </w:rPr>
            </w:pPr>
            <w:r>
              <w:rPr>
                <w:rFonts w:hint="eastAsia" w:ascii="宋体" w:hAnsi="宋体" w:cs="宋体"/>
                <w:b/>
                <w:kern w:val="0"/>
                <w:szCs w:val="21"/>
              </w:rPr>
              <w:t>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992" w:type="dxa"/>
            <w:vMerge w:val="continue"/>
            <w:vAlign w:val="center"/>
          </w:tcPr>
          <w:p>
            <w:pPr>
              <w:widowControl/>
              <w:jc w:val="center"/>
              <w:rPr>
                <w:rFonts w:ascii="宋体" w:hAnsi="宋体" w:cs="宋体"/>
                <w:kern w:val="0"/>
                <w:szCs w:val="21"/>
              </w:rPr>
            </w:pPr>
          </w:p>
        </w:tc>
        <w:tc>
          <w:tcPr>
            <w:tcW w:w="4636" w:type="dxa"/>
            <w:vMerge w:val="continue"/>
            <w:vAlign w:val="center"/>
          </w:tcPr>
          <w:p>
            <w:pPr>
              <w:widowControl/>
              <w:jc w:val="center"/>
              <w:rPr>
                <w:rFonts w:ascii="宋体" w:hAnsi="宋体" w:cs="宋体"/>
                <w:kern w:val="0"/>
                <w:szCs w:val="21"/>
              </w:rPr>
            </w:pP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992"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4636" w:type="dxa"/>
            <w:vAlign w:val="center"/>
          </w:tcPr>
          <w:p>
            <w:pPr>
              <w:rPr>
                <w:szCs w:val="21"/>
              </w:rPr>
            </w:pPr>
            <w:r>
              <w:rPr>
                <w:rFonts w:hint="eastAsia"/>
                <w:szCs w:val="21"/>
              </w:rPr>
              <w:t>投标文件按招标文件规定签字、盖章，没有以他人名义投标</w:t>
            </w: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992"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4636" w:type="dxa"/>
            <w:vAlign w:val="center"/>
          </w:tcPr>
          <w:p>
            <w:pPr>
              <w:rPr>
                <w:szCs w:val="21"/>
              </w:rPr>
            </w:pPr>
            <w:r>
              <w:rPr>
                <w:rFonts w:hint="eastAsia"/>
                <w:szCs w:val="21"/>
              </w:rPr>
              <w:t>投标文件的完整性（招标文件要求提供的主要资料是否齐全）</w:t>
            </w:r>
          </w:p>
        </w:tc>
        <w:tc>
          <w:tcPr>
            <w:tcW w:w="950" w:type="dxa"/>
            <w:vAlign w:val="center"/>
          </w:tcPr>
          <w:p>
            <w:pPr>
              <w:widowControl/>
              <w:jc w:val="center"/>
              <w:rPr>
                <w:rFonts w:ascii="宋体" w:hAnsi="宋体" w:cs="宋体"/>
                <w:kern w:val="0"/>
                <w:szCs w:val="21"/>
              </w:rPr>
            </w:pPr>
            <w:r>
              <w:rPr>
                <w:rFonts w:hint="eastAsia" w:ascii="宋体" w:hAnsi="宋体" w:cs="宋体"/>
                <w:kern w:val="0"/>
                <w:szCs w:val="21"/>
              </w:rPr>
              <w:t xml:space="preserve"> </w:t>
            </w: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992"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4636" w:type="dxa"/>
            <w:vAlign w:val="center"/>
          </w:tcPr>
          <w:p>
            <w:pPr>
              <w:rPr>
                <w:szCs w:val="21"/>
              </w:rPr>
            </w:pPr>
            <w:r>
              <w:rPr>
                <w:rFonts w:hint="eastAsia"/>
                <w:szCs w:val="21"/>
              </w:rPr>
              <w:t>投标报价是否超过采购预算是否符合规定</w:t>
            </w: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92"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4636" w:type="dxa"/>
            <w:vAlign w:val="center"/>
          </w:tcPr>
          <w:p>
            <w:pPr>
              <w:widowControl/>
              <w:rPr>
                <w:rFonts w:ascii="宋体" w:hAnsi="宋体" w:cs="宋体"/>
                <w:kern w:val="0"/>
                <w:szCs w:val="21"/>
              </w:rPr>
            </w:pPr>
            <w:r>
              <w:rPr>
                <w:rFonts w:hint="eastAsia" w:ascii="宋体" w:hAnsi="宋体" w:cs="宋体"/>
                <w:kern w:val="0"/>
                <w:szCs w:val="21"/>
              </w:rPr>
              <w:t>对招标文件的响应程度、应标范围是否偏离</w:t>
            </w: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exact"/>
          <w:jc w:val="center"/>
        </w:trPr>
        <w:tc>
          <w:tcPr>
            <w:tcW w:w="992" w:type="dxa"/>
            <w:vAlign w:val="center"/>
          </w:tcPr>
          <w:p>
            <w:pPr>
              <w:widowControl/>
              <w:jc w:val="center"/>
              <w:rPr>
                <w:rFonts w:ascii="宋体" w:hAnsi="宋体" w:cs="宋体"/>
                <w:kern w:val="0"/>
                <w:szCs w:val="21"/>
              </w:rPr>
            </w:pPr>
            <w:r>
              <w:rPr>
                <w:rFonts w:hint="eastAsia" w:ascii="宋体" w:hAnsi="宋体" w:cs="宋体"/>
                <w:kern w:val="0"/>
                <w:szCs w:val="21"/>
              </w:rPr>
              <w:t>5</w:t>
            </w:r>
          </w:p>
        </w:tc>
        <w:tc>
          <w:tcPr>
            <w:tcW w:w="4636" w:type="dxa"/>
            <w:vAlign w:val="center"/>
          </w:tcPr>
          <w:p>
            <w:pPr>
              <w:rPr>
                <w:rFonts w:ascii="宋体" w:hAnsi="宋体" w:cs="宋体"/>
                <w:kern w:val="0"/>
                <w:szCs w:val="21"/>
              </w:rPr>
            </w:pPr>
            <w:r>
              <w:rPr>
                <w:rFonts w:hint="eastAsia" w:ascii="宋体" w:hAnsi="宋体" w:cs="宋体"/>
                <w:kern w:val="0"/>
                <w:szCs w:val="21"/>
              </w:rPr>
              <w:t>是否有不符合法律、法规和招标文件规定的其他实质性要求的</w:t>
            </w: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5628" w:type="dxa"/>
            <w:gridSpan w:val="2"/>
            <w:vAlign w:val="center"/>
          </w:tcPr>
          <w:p>
            <w:pPr>
              <w:widowControl/>
              <w:jc w:val="center"/>
              <w:rPr>
                <w:rFonts w:ascii="宋体" w:hAnsi="宋体"/>
                <w:szCs w:val="21"/>
              </w:rPr>
            </w:pPr>
            <w:r>
              <w:rPr>
                <w:rFonts w:hint="eastAsia" w:ascii="宋体" w:hAnsi="宋体"/>
                <w:szCs w:val="21"/>
              </w:rPr>
              <w:t>结  论</w:t>
            </w:r>
          </w:p>
        </w:tc>
        <w:tc>
          <w:tcPr>
            <w:tcW w:w="950" w:type="dxa"/>
            <w:vAlign w:val="center"/>
          </w:tcPr>
          <w:p>
            <w:pPr>
              <w:widowControl/>
              <w:jc w:val="center"/>
              <w:rPr>
                <w:rFonts w:ascii="宋体" w:hAnsi="宋体" w:cs="宋体"/>
                <w:kern w:val="0"/>
                <w:szCs w:val="21"/>
              </w:rPr>
            </w:pPr>
          </w:p>
        </w:tc>
        <w:tc>
          <w:tcPr>
            <w:tcW w:w="978" w:type="dxa"/>
            <w:vAlign w:val="center"/>
          </w:tcPr>
          <w:p>
            <w:pPr>
              <w:widowControl/>
              <w:jc w:val="center"/>
              <w:rPr>
                <w:rFonts w:ascii="宋体" w:hAnsi="宋体" w:cs="宋体"/>
                <w:kern w:val="0"/>
                <w:szCs w:val="21"/>
              </w:rPr>
            </w:pPr>
          </w:p>
        </w:tc>
        <w:tc>
          <w:tcPr>
            <w:tcW w:w="1047" w:type="dxa"/>
            <w:vAlign w:val="center"/>
          </w:tcPr>
          <w:p>
            <w:pPr>
              <w:widowControl/>
              <w:jc w:val="center"/>
              <w:rPr>
                <w:rFonts w:ascii="宋体" w:hAnsi="宋体" w:cs="宋体"/>
                <w:kern w:val="0"/>
                <w:szCs w:val="21"/>
              </w:rPr>
            </w:pPr>
          </w:p>
        </w:tc>
      </w:tr>
    </w:tbl>
    <w:p>
      <w:pPr>
        <w:adjustRightInd w:val="0"/>
        <w:snapToGrid w:val="0"/>
        <w:spacing w:line="300" w:lineRule="auto"/>
        <w:ind w:right="-109" w:rightChars="-52"/>
        <w:rPr>
          <w:rFonts w:ascii="宋体" w:hAnsi="宋体"/>
          <w:b/>
          <w:bCs/>
          <w:sz w:val="24"/>
        </w:rPr>
      </w:pPr>
    </w:p>
    <w:p>
      <w:pPr>
        <w:adjustRightInd w:val="0"/>
        <w:snapToGrid w:val="0"/>
        <w:spacing w:line="300" w:lineRule="auto"/>
        <w:ind w:right="-109" w:rightChars="-52"/>
        <w:rPr>
          <w:rFonts w:ascii="宋体" w:hAnsi="宋体"/>
          <w:b/>
          <w:bCs/>
          <w:sz w:val="24"/>
        </w:rPr>
      </w:pPr>
    </w:p>
    <w:p>
      <w:pPr>
        <w:adjustRightInd w:val="0"/>
        <w:snapToGrid w:val="0"/>
        <w:spacing w:line="300" w:lineRule="auto"/>
        <w:ind w:right="-109" w:rightChars="-52"/>
        <w:rPr>
          <w:szCs w:val="21"/>
        </w:rPr>
      </w:pPr>
      <w:r>
        <w:rPr>
          <w:rFonts w:hint="eastAsia" w:ascii="宋体" w:hAnsi="宋体"/>
          <w:b/>
          <w:bCs/>
          <w:sz w:val="24"/>
        </w:rPr>
        <w:t>(3) 详细评审（综合评分法）</w:t>
      </w:r>
    </w:p>
    <w:p>
      <w:pPr>
        <w:spacing w:line="360" w:lineRule="auto"/>
        <w:rPr>
          <w:rFonts w:ascii="宋体" w:hAnsi="宋体"/>
          <w:szCs w:val="21"/>
        </w:rPr>
      </w:pPr>
      <w:r>
        <w:rPr>
          <w:rFonts w:hint="eastAsia" w:ascii="宋体" w:hAnsi="宋体"/>
          <w:b/>
          <w:szCs w:val="21"/>
        </w:rPr>
        <w:t>1）</w:t>
      </w:r>
      <w:r>
        <w:rPr>
          <w:rFonts w:hint="eastAsia" w:ascii="宋体" w:hAnsi="宋体"/>
          <w:szCs w:val="21"/>
        </w:rPr>
        <w:t>采购监管部门保留对中标候选人提供的投标资料进行核查的权利，若发现投标人提供虚假资料，一经查实将取消其中标候选人资格并根据《政府采购法》进行处罚：</w:t>
      </w:r>
    </w:p>
    <w:p>
      <w:pPr>
        <w:spacing w:line="360" w:lineRule="auto"/>
        <w:rPr>
          <w:rFonts w:ascii="宋体" w:hAnsi="宋体"/>
          <w:b/>
          <w:szCs w:val="21"/>
        </w:rPr>
      </w:pPr>
      <w:r>
        <w:rPr>
          <w:rFonts w:hint="eastAsia" w:ascii="宋体" w:hAnsi="宋体"/>
          <w:b/>
          <w:szCs w:val="21"/>
        </w:rPr>
        <w:t>2）有下述情况之一者投标报价无效且不参与报价评分：</w:t>
      </w:r>
    </w:p>
    <w:p>
      <w:pPr>
        <w:spacing w:line="360" w:lineRule="auto"/>
        <w:rPr>
          <w:rFonts w:ascii="宋体" w:hAnsi="宋体"/>
          <w:b/>
          <w:szCs w:val="21"/>
        </w:rPr>
      </w:pPr>
      <w:r>
        <w:rPr>
          <w:rFonts w:hint="eastAsia" w:ascii="宋体" w:hAnsi="宋体"/>
          <w:b/>
          <w:szCs w:val="21"/>
        </w:rPr>
        <w:t>2.1</w:t>
      </w:r>
      <w:r>
        <w:rPr>
          <w:rFonts w:hint="eastAsia" w:ascii="宋体" w:hAnsi="宋体"/>
          <w:szCs w:val="21"/>
        </w:rPr>
        <w:t>投标人拒绝接受评标委员会对其报价错误做出修正的，其投标报价无效；</w:t>
      </w:r>
    </w:p>
    <w:p>
      <w:pPr>
        <w:spacing w:line="360" w:lineRule="auto"/>
        <w:rPr>
          <w:rFonts w:ascii="宋体" w:hAnsi="宋体"/>
          <w:b/>
          <w:szCs w:val="21"/>
        </w:rPr>
      </w:pPr>
      <w:r>
        <w:rPr>
          <w:rFonts w:hint="eastAsia" w:ascii="宋体" w:hAnsi="宋体"/>
          <w:b/>
          <w:szCs w:val="21"/>
        </w:rPr>
        <w:t>2.2</w:t>
      </w:r>
      <w:r>
        <w:rPr>
          <w:rFonts w:hint="eastAsia" w:ascii="宋体" w:hAnsi="宋体"/>
          <w:szCs w:val="21"/>
        </w:rPr>
        <w:t xml:space="preserve">经修正的投标报价＞采购人采购计划总价的，报价无效； </w:t>
      </w:r>
    </w:p>
    <w:p>
      <w:pPr>
        <w:spacing w:line="360" w:lineRule="auto"/>
        <w:rPr>
          <w:rFonts w:ascii="宋体" w:hAnsi="宋体"/>
          <w:szCs w:val="21"/>
        </w:rPr>
      </w:pPr>
      <w:r>
        <w:rPr>
          <w:rFonts w:hint="eastAsia" w:ascii="宋体" w:hAnsi="宋体"/>
          <w:b/>
          <w:szCs w:val="21"/>
        </w:rPr>
        <w:t>2.3</w:t>
      </w:r>
      <w:r>
        <w:rPr>
          <w:rFonts w:hint="eastAsia" w:ascii="宋体" w:hAnsi="宋体"/>
          <w:szCs w:val="21"/>
        </w:rPr>
        <w:t>投标人的投标报价＞采购人采购计划总价的，报价无效；</w:t>
      </w:r>
    </w:p>
    <w:p>
      <w:pPr>
        <w:spacing w:line="360" w:lineRule="auto"/>
      </w:pPr>
      <w:r>
        <w:rPr>
          <w:rFonts w:hint="eastAsia" w:ascii="宋体" w:hAnsi="宋体"/>
          <w:b/>
          <w:szCs w:val="21"/>
        </w:rPr>
        <w:t>2.4</w:t>
      </w:r>
      <w:r>
        <w:rPr>
          <w:rFonts w:hint="eastAsia" w:ascii="宋体" w:hAnsi="宋体"/>
          <w:szCs w:val="21"/>
        </w:rPr>
        <w:t>经三分之二以上评委认定其投标报价明显低于成本价，投标人不能作出合理解释的，报价无效；</w:t>
      </w: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p>
    <w:p>
      <w:pPr>
        <w:pStyle w:val="5"/>
        <w:spacing w:before="0" w:after="0"/>
        <w:rPr>
          <w:rFonts w:ascii="黑体" w:hAnsi="黑体" w:cs="黑体"/>
          <w:sz w:val="30"/>
          <w:szCs w:val="30"/>
        </w:rPr>
      </w:pPr>
      <w:bookmarkStart w:id="400" w:name="_Toc861_WPSOffice_Level2"/>
      <w:bookmarkStart w:id="401" w:name="_Toc10381_WPSOffice_Level2"/>
      <w:bookmarkStart w:id="402" w:name="_Toc23333_WPSOffice_Level2"/>
      <w:bookmarkStart w:id="403" w:name="_Toc30256_WPSOffice_Level2"/>
      <w:r>
        <w:rPr>
          <w:rFonts w:hint="eastAsia" w:ascii="黑体" w:hAnsi="黑体" w:cs="黑体"/>
          <w:sz w:val="30"/>
          <w:szCs w:val="30"/>
        </w:rPr>
        <w:t>评分细则表</w:t>
      </w:r>
      <w:bookmarkEnd w:id="400"/>
      <w:bookmarkEnd w:id="401"/>
      <w:bookmarkEnd w:id="402"/>
      <w:bookmarkEnd w:id="403"/>
    </w:p>
    <w:p>
      <w:pPr>
        <w:spacing w:line="340" w:lineRule="exact"/>
        <w:rPr>
          <w:rFonts w:ascii="仿宋" w:hAnsi="仿宋" w:eastAsia="仿宋" w:cs="仿宋"/>
          <w:b/>
          <w:szCs w:val="21"/>
        </w:rPr>
      </w:pPr>
      <w:r>
        <w:rPr>
          <w:rFonts w:hint="eastAsia" w:ascii="仿宋" w:hAnsi="仿宋" w:eastAsia="仿宋" w:cs="仿宋"/>
          <w:b/>
          <w:szCs w:val="21"/>
        </w:rPr>
        <w:t>投标文件的评价采用综合评分法，满分为100分（不含加分），</w:t>
      </w:r>
      <w:r>
        <w:rPr>
          <w:rFonts w:hint="eastAsia" w:ascii="仿宋" w:hAnsi="仿宋" w:eastAsia="仿宋" w:cs="仿宋"/>
          <w:b/>
          <w:szCs w:val="21"/>
          <w:lang w:val="zh-CN"/>
        </w:rPr>
        <w:t>由评标委员会综合评价投标人所投报的服务内容、服务方案等，根据以下标准对每个有效投标人进行评价、打分，</w:t>
      </w:r>
      <w:r>
        <w:rPr>
          <w:rFonts w:hint="eastAsia" w:ascii="仿宋" w:hAnsi="仿宋" w:eastAsia="仿宋" w:cs="仿宋"/>
          <w:b/>
          <w:szCs w:val="21"/>
        </w:rPr>
        <w:t>分值分布如下：</w:t>
      </w:r>
    </w:p>
    <w:tbl>
      <w:tblPr>
        <w:tblStyle w:val="40"/>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985"/>
        <w:gridCol w:w="567"/>
        <w:gridCol w:w="7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892" w:type="dxa"/>
            <w:vAlign w:val="center"/>
          </w:tcPr>
          <w:p>
            <w:pPr>
              <w:jc w:val="center"/>
              <w:rPr>
                <w:sz w:val="18"/>
                <w:szCs w:val="18"/>
              </w:rPr>
            </w:pPr>
            <w:r>
              <w:rPr>
                <w:rFonts w:hint="eastAsia"/>
                <w:sz w:val="18"/>
                <w:szCs w:val="18"/>
              </w:rPr>
              <w:t>评审</w:t>
            </w:r>
          </w:p>
          <w:p>
            <w:pPr>
              <w:jc w:val="center"/>
              <w:rPr>
                <w:sz w:val="18"/>
                <w:szCs w:val="18"/>
              </w:rPr>
            </w:pPr>
            <w:r>
              <w:rPr>
                <w:rFonts w:hint="eastAsia"/>
                <w:sz w:val="18"/>
                <w:szCs w:val="18"/>
              </w:rPr>
              <w:t>因素</w:t>
            </w:r>
          </w:p>
        </w:tc>
        <w:tc>
          <w:tcPr>
            <w:tcW w:w="985" w:type="dxa"/>
            <w:vAlign w:val="center"/>
          </w:tcPr>
          <w:p>
            <w:pPr>
              <w:jc w:val="center"/>
              <w:rPr>
                <w:sz w:val="18"/>
                <w:szCs w:val="18"/>
              </w:rPr>
            </w:pPr>
            <w:r>
              <w:rPr>
                <w:rFonts w:hint="eastAsia"/>
                <w:sz w:val="18"/>
                <w:szCs w:val="18"/>
              </w:rPr>
              <w:t>计分因素</w:t>
            </w:r>
          </w:p>
        </w:tc>
        <w:tc>
          <w:tcPr>
            <w:tcW w:w="567" w:type="dxa"/>
            <w:vAlign w:val="center"/>
          </w:tcPr>
          <w:p>
            <w:pPr>
              <w:jc w:val="center"/>
              <w:rPr>
                <w:sz w:val="18"/>
                <w:szCs w:val="18"/>
              </w:rPr>
            </w:pPr>
            <w:r>
              <w:rPr>
                <w:rFonts w:hint="eastAsia"/>
                <w:sz w:val="18"/>
                <w:szCs w:val="18"/>
              </w:rPr>
              <w:t>分值</w:t>
            </w:r>
          </w:p>
        </w:tc>
        <w:tc>
          <w:tcPr>
            <w:tcW w:w="7546" w:type="dxa"/>
            <w:vAlign w:val="center"/>
          </w:tcPr>
          <w:p>
            <w:pPr>
              <w:jc w:val="center"/>
              <w:rPr>
                <w:sz w:val="18"/>
                <w:szCs w:val="18"/>
              </w:rPr>
            </w:pPr>
            <w:r>
              <w:rPr>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jc w:val="center"/>
        </w:trPr>
        <w:tc>
          <w:tcPr>
            <w:tcW w:w="892" w:type="dxa"/>
            <w:vAlign w:val="center"/>
          </w:tcPr>
          <w:p>
            <w:pPr>
              <w:jc w:val="center"/>
              <w:rPr>
                <w:sz w:val="18"/>
                <w:szCs w:val="18"/>
              </w:rPr>
            </w:pPr>
            <w:r>
              <w:rPr>
                <w:rFonts w:hint="eastAsia"/>
                <w:sz w:val="18"/>
                <w:szCs w:val="18"/>
              </w:rPr>
              <w:t>报价</w:t>
            </w:r>
          </w:p>
          <w:p>
            <w:pPr>
              <w:jc w:val="center"/>
              <w:rPr>
                <w:sz w:val="18"/>
                <w:szCs w:val="18"/>
              </w:rPr>
            </w:pPr>
            <w:r>
              <w:rPr>
                <w:rFonts w:hint="eastAsia"/>
                <w:sz w:val="18"/>
                <w:szCs w:val="18"/>
              </w:rPr>
              <w:t>部分  30分</w:t>
            </w:r>
          </w:p>
        </w:tc>
        <w:tc>
          <w:tcPr>
            <w:tcW w:w="985" w:type="dxa"/>
            <w:vAlign w:val="center"/>
          </w:tcPr>
          <w:p>
            <w:pPr>
              <w:jc w:val="center"/>
              <w:rPr>
                <w:sz w:val="18"/>
                <w:szCs w:val="18"/>
              </w:rPr>
            </w:pPr>
            <w:r>
              <w:rPr>
                <w:rFonts w:hint="eastAsia"/>
                <w:sz w:val="18"/>
                <w:szCs w:val="18"/>
              </w:rPr>
              <w:t>投标报价</w:t>
            </w:r>
          </w:p>
        </w:tc>
        <w:tc>
          <w:tcPr>
            <w:tcW w:w="567" w:type="dxa"/>
            <w:vAlign w:val="center"/>
          </w:tcPr>
          <w:p>
            <w:pPr>
              <w:jc w:val="center"/>
              <w:rPr>
                <w:sz w:val="18"/>
                <w:szCs w:val="18"/>
              </w:rPr>
            </w:pPr>
            <w:r>
              <w:rPr>
                <w:rFonts w:hint="eastAsia"/>
                <w:sz w:val="18"/>
                <w:szCs w:val="18"/>
              </w:rPr>
              <w:t>30</w:t>
            </w:r>
          </w:p>
        </w:tc>
        <w:tc>
          <w:tcPr>
            <w:tcW w:w="7546" w:type="dxa"/>
            <w:vAlign w:val="center"/>
          </w:tcPr>
          <w:p>
            <w:pPr>
              <w:jc w:val="left"/>
              <w:rPr>
                <w:sz w:val="18"/>
                <w:szCs w:val="18"/>
              </w:rPr>
            </w:pPr>
            <w:r>
              <w:rPr>
                <w:rFonts w:hint="eastAsia"/>
                <w:sz w:val="18"/>
                <w:szCs w:val="18"/>
              </w:rPr>
              <w:t>1.基准价：符合招标文件要求并且报价最低的为基准价，其得分为满分。</w:t>
            </w:r>
          </w:p>
          <w:p>
            <w:pPr>
              <w:jc w:val="left"/>
              <w:rPr>
                <w:sz w:val="18"/>
                <w:szCs w:val="18"/>
              </w:rPr>
            </w:pPr>
            <w:r>
              <w:rPr>
                <w:rFonts w:hint="eastAsia"/>
                <w:sz w:val="18"/>
                <w:szCs w:val="18"/>
              </w:rPr>
              <w:t>2.其余得分计算：投标报价得分=(评标基准价／投标报价)×价格权值0.3×100</w:t>
            </w:r>
          </w:p>
          <w:p>
            <w:pPr>
              <w:jc w:val="left"/>
              <w:rPr>
                <w:sz w:val="18"/>
                <w:szCs w:val="18"/>
              </w:rPr>
            </w:pPr>
            <w:r>
              <w:rPr>
                <w:rFonts w:hint="eastAsia"/>
                <w:sz w:val="18"/>
                <w:szCs w:val="18"/>
              </w:rPr>
              <w:t>3.有效报价：审查合格的投标报价为有效报价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892" w:type="dxa"/>
            <w:vMerge w:val="restart"/>
            <w:vAlign w:val="center"/>
          </w:tcPr>
          <w:p>
            <w:pPr>
              <w:jc w:val="center"/>
              <w:rPr>
                <w:sz w:val="18"/>
                <w:szCs w:val="18"/>
              </w:rPr>
            </w:pPr>
            <w:r>
              <w:rPr>
                <w:rFonts w:hint="eastAsia"/>
                <w:sz w:val="18"/>
                <w:szCs w:val="18"/>
              </w:rPr>
              <w:t>技术</w:t>
            </w:r>
          </w:p>
          <w:p>
            <w:pPr>
              <w:jc w:val="center"/>
              <w:rPr>
                <w:sz w:val="18"/>
                <w:szCs w:val="18"/>
              </w:rPr>
            </w:pPr>
            <w:r>
              <w:rPr>
                <w:rFonts w:hint="eastAsia"/>
                <w:sz w:val="18"/>
                <w:szCs w:val="18"/>
              </w:rPr>
              <w:t>部分</w:t>
            </w:r>
          </w:p>
          <w:p>
            <w:pPr>
              <w:jc w:val="center"/>
              <w:rPr>
                <w:sz w:val="18"/>
                <w:szCs w:val="18"/>
              </w:rPr>
            </w:pPr>
            <w:r>
              <w:rPr>
                <w:rFonts w:hint="eastAsia"/>
                <w:sz w:val="18"/>
                <w:szCs w:val="18"/>
              </w:rPr>
              <w:t>40分</w:t>
            </w:r>
          </w:p>
        </w:tc>
        <w:tc>
          <w:tcPr>
            <w:tcW w:w="985" w:type="dxa"/>
            <w:vAlign w:val="center"/>
          </w:tcPr>
          <w:p>
            <w:pPr>
              <w:jc w:val="center"/>
              <w:rPr>
                <w:sz w:val="18"/>
                <w:szCs w:val="18"/>
              </w:rPr>
            </w:pPr>
            <w:r>
              <w:rPr>
                <w:rFonts w:hint="eastAsia"/>
                <w:sz w:val="18"/>
                <w:szCs w:val="18"/>
              </w:rPr>
              <w:t>产品技术</w:t>
            </w:r>
          </w:p>
        </w:tc>
        <w:tc>
          <w:tcPr>
            <w:tcW w:w="567" w:type="dxa"/>
            <w:vAlign w:val="center"/>
          </w:tcPr>
          <w:p>
            <w:pPr>
              <w:jc w:val="center"/>
              <w:rPr>
                <w:sz w:val="18"/>
                <w:szCs w:val="18"/>
              </w:rPr>
            </w:pPr>
            <w:r>
              <w:rPr>
                <w:rFonts w:hint="eastAsia"/>
                <w:sz w:val="18"/>
                <w:szCs w:val="18"/>
              </w:rPr>
              <w:t>25</w:t>
            </w:r>
          </w:p>
        </w:tc>
        <w:tc>
          <w:tcPr>
            <w:tcW w:w="7546" w:type="dxa"/>
            <w:vAlign w:val="center"/>
          </w:tcPr>
          <w:p>
            <w:pPr>
              <w:jc w:val="left"/>
              <w:rPr>
                <w:sz w:val="18"/>
                <w:szCs w:val="18"/>
              </w:rPr>
            </w:pPr>
            <w:r>
              <w:rPr>
                <w:rFonts w:hint="eastAsia"/>
                <w:sz w:val="18"/>
                <w:szCs w:val="18"/>
              </w:rPr>
              <w:t>投标货物的技术参数、技术性能完全满足招标文件要求的，得25分；</w:t>
            </w:r>
          </w:p>
          <w:p>
            <w:pPr>
              <w:jc w:val="left"/>
              <w:rPr>
                <w:sz w:val="18"/>
                <w:szCs w:val="18"/>
              </w:rPr>
            </w:pPr>
            <w:r>
              <w:rPr>
                <w:rFonts w:hint="eastAsia"/>
                <w:sz w:val="18"/>
                <w:szCs w:val="18"/>
              </w:rPr>
              <w:t>投标货物的技术条款每负偏离一项，扣4分，最多扣16分。负偏离大于5项将导致无效投标</w:t>
            </w:r>
          </w:p>
          <w:p>
            <w:pPr>
              <w:jc w:val="left"/>
              <w:rPr>
                <w:sz w:val="18"/>
                <w:szCs w:val="18"/>
              </w:rPr>
            </w:pPr>
            <w:r>
              <w:rPr>
                <w:rFonts w:hint="eastAsia"/>
                <w:sz w:val="18"/>
                <w:szCs w:val="18"/>
              </w:rPr>
              <w:t>(提供所投核心设备的说明书或彩页或包装盒或其他标注有其产品参数的原件，并加盖生产厂家公章备查）。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产品质量</w:t>
            </w:r>
          </w:p>
        </w:tc>
        <w:tc>
          <w:tcPr>
            <w:tcW w:w="567" w:type="dxa"/>
            <w:vAlign w:val="center"/>
          </w:tcPr>
          <w:p>
            <w:pPr>
              <w:jc w:val="center"/>
              <w:rPr>
                <w:sz w:val="18"/>
                <w:szCs w:val="18"/>
              </w:rPr>
            </w:pPr>
            <w:r>
              <w:rPr>
                <w:rFonts w:hint="eastAsia"/>
                <w:sz w:val="18"/>
                <w:szCs w:val="18"/>
              </w:rPr>
              <w:t>11</w:t>
            </w:r>
          </w:p>
        </w:tc>
        <w:tc>
          <w:tcPr>
            <w:tcW w:w="7546" w:type="dxa"/>
            <w:vAlign w:val="center"/>
          </w:tcPr>
          <w:p>
            <w:pPr>
              <w:jc w:val="left"/>
              <w:rPr>
                <w:sz w:val="18"/>
                <w:szCs w:val="18"/>
              </w:rPr>
            </w:pPr>
            <w:r>
              <w:rPr>
                <w:rFonts w:hint="eastAsia"/>
                <w:sz w:val="18"/>
                <w:szCs w:val="18"/>
              </w:rPr>
              <w:t>1.所投核心设备（即音箱、调音台、功率放大器、点歌机）品牌生产厂家通过ISO9001质量管理体系认证、ISO14001环境管理体系认证、OHSAS18001职业健康管理体系认证，三个设备全部提供的计5分，任缺一个计0分（提供相关证明材料复印件，并加盖生产厂家公章）；</w:t>
            </w:r>
          </w:p>
          <w:p>
            <w:pPr>
              <w:jc w:val="left"/>
              <w:rPr>
                <w:sz w:val="18"/>
                <w:szCs w:val="18"/>
              </w:rPr>
            </w:pPr>
            <w:r>
              <w:rPr>
                <w:rFonts w:hint="eastAsia"/>
                <w:sz w:val="18"/>
                <w:szCs w:val="18"/>
              </w:rPr>
              <w:t>2.所投核心设备（同上）通过</w:t>
            </w:r>
            <w:r>
              <w:rPr>
                <w:sz w:val="18"/>
                <w:szCs w:val="18"/>
              </w:rPr>
              <w:t>中国强制性产品认证</w:t>
            </w:r>
            <w:r>
              <w:rPr>
                <w:rFonts w:hint="eastAsia"/>
                <w:sz w:val="18"/>
                <w:szCs w:val="18"/>
              </w:rPr>
              <w:t>，即3C认证，三个设备全通过计6分，任缺一项计0分（提供相关证明材料复印件，并加盖生产厂家公章，原件备查）。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产品   兼容性</w:t>
            </w:r>
          </w:p>
        </w:tc>
        <w:tc>
          <w:tcPr>
            <w:tcW w:w="567" w:type="dxa"/>
            <w:vAlign w:val="center"/>
          </w:tcPr>
          <w:p>
            <w:pPr>
              <w:jc w:val="center"/>
              <w:rPr>
                <w:sz w:val="18"/>
                <w:szCs w:val="18"/>
              </w:rPr>
            </w:pPr>
            <w:r>
              <w:rPr>
                <w:rFonts w:hint="eastAsia"/>
                <w:sz w:val="18"/>
                <w:szCs w:val="18"/>
              </w:rPr>
              <w:t>4</w:t>
            </w:r>
          </w:p>
        </w:tc>
        <w:tc>
          <w:tcPr>
            <w:tcW w:w="7546" w:type="dxa"/>
            <w:vAlign w:val="center"/>
          </w:tcPr>
          <w:p>
            <w:pPr>
              <w:jc w:val="left"/>
              <w:rPr>
                <w:sz w:val="18"/>
                <w:szCs w:val="18"/>
              </w:rPr>
            </w:pPr>
            <w:r>
              <w:rPr>
                <w:rFonts w:hint="eastAsia"/>
                <w:sz w:val="18"/>
                <w:szCs w:val="18"/>
              </w:rPr>
              <w:t>为保证音响系统的音质效果，所投调音台、功放放大器、主音箱、电源时序器、无线话筒为同一品牌计4分，非同一品牌每多一个品牌扣1分，扣完为止。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8" w:hRule="atLeast"/>
          <w:jc w:val="center"/>
        </w:trPr>
        <w:tc>
          <w:tcPr>
            <w:tcW w:w="892" w:type="dxa"/>
            <w:vMerge w:val="restart"/>
            <w:vAlign w:val="center"/>
          </w:tcPr>
          <w:p>
            <w:pPr>
              <w:jc w:val="center"/>
              <w:rPr>
                <w:sz w:val="18"/>
                <w:szCs w:val="18"/>
              </w:rPr>
            </w:pPr>
            <w:r>
              <w:rPr>
                <w:rFonts w:hint="eastAsia"/>
                <w:sz w:val="18"/>
                <w:szCs w:val="18"/>
              </w:rPr>
              <w:t>商务</w:t>
            </w:r>
          </w:p>
          <w:p>
            <w:pPr>
              <w:jc w:val="center"/>
              <w:rPr>
                <w:sz w:val="18"/>
                <w:szCs w:val="18"/>
              </w:rPr>
            </w:pPr>
            <w:r>
              <w:rPr>
                <w:rFonts w:hint="eastAsia"/>
                <w:sz w:val="18"/>
                <w:szCs w:val="18"/>
              </w:rPr>
              <w:t>部分  30分</w:t>
            </w:r>
          </w:p>
        </w:tc>
        <w:tc>
          <w:tcPr>
            <w:tcW w:w="985" w:type="dxa"/>
            <w:vAlign w:val="center"/>
          </w:tcPr>
          <w:p>
            <w:pPr>
              <w:jc w:val="center"/>
              <w:rPr>
                <w:sz w:val="18"/>
                <w:szCs w:val="18"/>
              </w:rPr>
            </w:pPr>
            <w:r>
              <w:rPr>
                <w:rFonts w:hint="eastAsia"/>
                <w:sz w:val="18"/>
                <w:szCs w:val="18"/>
              </w:rPr>
              <w:t>投标文件制作</w:t>
            </w:r>
          </w:p>
        </w:tc>
        <w:tc>
          <w:tcPr>
            <w:tcW w:w="567" w:type="dxa"/>
            <w:vAlign w:val="center"/>
          </w:tcPr>
          <w:p>
            <w:pPr>
              <w:jc w:val="center"/>
              <w:rPr>
                <w:sz w:val="18"/>
                <w:szCs w:val="18"/>
              </w:rPr>
            </w:pPr>
            <w:r>
              <w:rPr>
                <w:rFonts w:hint="eastAsia"/>
                <w:sz w:val="18"/>
                <w:szCs w:val="18"/>
              </w:rPr>
              <w:t>5</w:t>
            </w:r>
          </w:p>
        </w:tc>
        <w:tc>
          <w:tcPr>
            <w:tcW w:w="7546" w:type="dxa"/>
            <w:vAlign w:val="bottom"/>
          </w:tcPr>
          <w:p>
            <w:pPr>
              <w:jc w:val="left"/>
              <w:rPr>
                <w:sz w:val="18"/>
                <w:szCs w:val="18"/>
              </w:rPr>
            </w:pPr>
            <w:r>
              <w:rPr>
                <w:rFonts w:hint="eastAsia"/>
                <w:sz w:val="18"/>
                <w:szCs w:val="18"/>
              </w:rPr>
              <w:t>1.投标文件应按招标文件规定的格式、顺序编制，有目录、页码、装订成册，书面整洁，没有缺漏项，价格数量等计算准确。不满足的一项扣0.5分，扣完为止；</w:t>
            </w:r>
          </w:p>
          <w:p>
            <w:pPr>
              <w:jc w:val="left"/>
              <w:rPr>
                <w:sz w:val="18"/>
                <w:szCs w:val="18"/>
              </w:rPr>
            </w:pPr>
            <w:r>
              <w:rPr>
                <w:rFonts w:hint="eastAsia"/>
                <w:sz w:val="18"/>
                <w:szCs w:val="18"/>
              </w:rPr>
              <w:t>2.投标文件照搬照抄招标文件的内容作为投标文件内容的，扣2分；</w:t>
            </w:r>
          </w:p>
          <w:p>
            <w:pPr>
              <w:jc w:val="left"/>
              <w:rPr>
                <w:sz w:val="18"/>
                <w:szCs w:val="18"/>
              </w:rPr>
            </w:pPr>
            <w:r>
              <w:rPr>
                <w:rFonts w:hint="eastAsia"/>
                <w:sz w:val="18"/>
                <w:szCs w:val="18"/>
              </w:rPr>
              <w:t>3.投标文件内容无法辨认，包括盖章不清楚、印刷不清楚、签字字迹模糊的，扣2分；</w:t>
            </w:r>
          </w:p>
          <w:p>
            <w:pPr>
              <w:jc w:val="left"/>
              <w:rPr>
                <w:sz w:val="18"/>
                <w:szCs w:val="18"/>
              </w:rPr>
            </w:pPr>
            <w:r>
              <w:rPr>
                <w:rFonts w:hint="eastAsia"/>
                <w:sz w:val="18"/>
                <w:szCs w:val="18"/>
              </w:rPr>
              <w:t>4.投标文件对同一问题前后表述不一致的，扣2分；</w:t>
            </w:r>
          </w:p>
          <w:p>
            <w:pPr>
              <w:jc w:val="left"/>
              <w:rPr>
                <w:sz w:val="18"/>
                <w:szCs w:val="18"/>
              </w:rPr>
            </w:pPr>
            <w:r>
              <w:rPr>
                <w:rFonts w:hint="eastAsia"/>
                <w:sz w:val="18"/>
                <w:szCs w:val="18"/>
              </w:rPr>
              <w:t>上述几项有问题的，对应扣分，扣完5分为止；都无问题的，计5分。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2"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信誉</w:t>
            </w:r>
          </w:p>
        </w:tc>
        <w:tc>
          <w:tcPr>
            <w:tcW w:w="567" w:type="dxa"/>
            <w:vAlign w:val="center"/>
          </w:tcPr>
          <w:p>
            <w:pPr>
              <w:jc w:val="center"/>
              <w:rPr>
                <w:sz w:val="18"/>
                <w:szCs w:val="18"/>
              </w:rPr>
            </w:pPr>
            <w:r>
              <w:rPr>
                <w:rFonts w:hint="eastAsia"/>
                <w:sz w:val="18"/>
                <w:szCs w:val="18"/>
              </w:rPr>
              <w:t>4</w:t>
            </w:r>
          </w:p>
        </w:tc>
        <w:tc>
          <w:tcPr>
            <w:tcW w:w="7546" w:type="dxa"/>
            <w:vAlign w:val="center"/>
          </w:tcPr>
          <w:p>
            <w:pPr>
              <w:jc w:val="left"/>
              <w:rPr>
                <w:sz w:val="18"/>
                <w:szCs w:val="18"/>
              </w:rPr>
            </w:pPr>
            <w:r>
              <w:rPr>
                <w:rFonts w:hint="eastAsia"/>
                <w:sz w:val="18"/>
                <w:szCs w:val="18"/>
              </w:rPr>
              <w:t>制造商授权函：提供所投核心设备（同上）品牌生产厂家出具的针对本项目该产品及其售后服务的授权书，提供一个厂家的授权书计1分，最多计4分，未提供不计分（授权书必须明确授权产品的名称品牌规格型号，必须明确针对该产品的售后服务承诺，加盖生产厂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9"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业绩</w:t>
            </w:r>
          </w:p>
        </w:tc>
        <w:tc>
          <w:tcPr>
            <w:tcW w:w="567" w:type="dxa"/>
            <w:vAlign w:val="center"/>
          </w:tcPr>
          <w:p>
            <w:pPr>
              <w:jc w:val="center"/>
              <w:rPr>
                <w:sz w:val="18"/>
                <w:szCs w:val="18"/>
              </w:rPr>
            </w:pPr>
            <w:r>
              <w:rPr>
                <w:rFonts w:hint="eastAsia"/>
                <w:sz w:val="18"/>
                <w:szCs w:val="18"/>
              </w:rPr>
              <w:t>8</w:t>
            </w:r>
          </w:p>
        </w:tc>
        <w:tc>
          <w:tcPr>
            <w:tcW w:w="7546" w:type="dxa"/>
            <w:vAlign w:val="center"/>
          </w:tcPr>
          <w:p>
            <w:pPr>
              <w:jc w:val="left"/>
              <w:rPr>
                <w:sz w:val="18"/>
                <w:szCs w:val="18"/>
              </w:rPr>
            </w:pPr>
            <w:r>
              <w:rPr>
                <w:rFonts w:hint="eastAsia"/>
                <w:sz w:val="18"/>
                <w:szCs w:val="18"/>
              </w:rPr>
              <w:t>提供所投核心设备（投标人或生产厂商）近3年（2016年1月-2019年1月）完成的同类文化用品政府采购项目业绩。每提供一个业绩，计2分，计满8分为止。（要求提供中标通知书及合同复印件加盖公章，原件备查）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服务方案</w:t>
            </w:r>
          </w:p>
        </w:tc>
        <w:tc>
          <w:tcPr>
            <w:tcW w:w="567" w:type="dxa"/>
            <w:vAlign w:val="center"/>
          </w:tcPr>
          <w:p>
            <w:pPr>
              <w:jc w:val="center"/>
              <w:rPr>
                <w:sz w:val="18"/>
                <w:szCs w:val="18"/>
              </w:rPr>
            </w:pPr>
            <w:r>
              <w:rPr>
                <w:rFonts w:hint="eastAsia"/>
                <w:sz w:val="18"/>
                <w:szCs w:val="18"/>
              </w:rPr>
              <w:t>5</w:t>
            </w:r>
          </w:p>
        </w:tc>
        <w:tc>
          <w:tcPr>
            <w:tcW w:w="7546" w:type="dxa"/>
            <w:vAlign w:val="center"/>
          </w:tcPr>
          <w:p>
            <w:pPr>
              <w:jc w:val="left"/>
              <w:rPr>
                <w:sz w:val="18"/>
                <w:szCs w:val="18"/>
              </w:rPr>
            </w:pPr>
            <w:r>
              <w:rPr>
                <w:rFonts w:hint="eastAsia"/>
                <w:sz w:val="18"/>
                <w:szCs w:val="18"/>
              </w:rPr>
              <w:t>整体服务流程：包含签订采购合同、供货、验货、送货、安装调试、售后服务。流程完整、规范的计2分，不完整、欠规范的每处扣0.5分，扣完为止。</w:t>
            </w:r>
          </w:p>
          <w:p>
            <w:pPr>
              <w:jc w:val="left"/>
              <w:rPr>
                <w:sz w:val="18"/>
                <w:szCs w:val="18"/>
              </w:rPr>
            </w:pPr>
            <w:r>
              <w:rPr>
                <w:rFonts w:hint="eastAsia"/>
                <w:sz w:val="18"/>
                <w:szCs w:val="18"/>
              </w:rPr>
              <w:t>供货及安装调试：包含供货进度计划、包装运输方式、供货现场踏勘及对接交流、货物存放场地及方式、安装及调试方案。方案完整、规范的计1分，不完整、欠规范的计0.5分，无计0分；</w:t>
            </w:r>
          </w:p>
          <w:p>
            <w:pPr>
              <w:jc w:val="left"/>
              <w:rPr>
                <w:sz w:val="18"/>
                <w:szCs w:val="18"/>
              </w:rPr>
            </w:pPr>
            <w:r>
              <w:rPr>
                <w:rFonts w:hint="eastAsia"/>
                <w:sz w:val="18"/>
                <w:szCs w:val="18"/>
              </w:rPr>
              <w:t>质量保证措施：包含质量保证机构、质量管理制度、故障处理及技术培训制度。措施完整、规范的计1分，不完整、欠规范的计0.5分，无计0分；</w:t>
            </w:r>
          </w:p>
          <w:p>
            <w:pPr>
              <w:jc w:val="left"/>
              <w:rPr>
                <w:sz w:val="18"/>
                <w:szCs w:val="18"/>
              </w:rPr>
            </w:pPr>
            <w:r>
              <w:rPr>
                <w:rFonts w:hint="eastAsia"/>
                <w:sz w:val="18"/>
                <w:szCs w:val="18"/>
              </w:rPr>
              <w:t>人员配备方案：配备两名及以上所投核心设备产品生产厂家服务部专业人员全程跟踪服务，计1分，配备一名所投核心设备产品生产厂商服务部专业人员全程跟踪服务，计0.5分，无配备计0分（1、提供所投核心设备产品生产厂家调音员证及近六个月缴纳社保的证明复印件加盖生产厂家公章；2、提供派驻该专业人员针对本项目全程跟踪服务的授权证明加盖生产厂家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1" w:hRule="atLeast"/>
          <w:jc w:val="center"/>
        </w:trPr>
        <w:tc>
          <w:tcPr>
            <w:tcW w:w="892" w:type="dxa"/>
            <w:vMerge w:val="continue"/>
            <w:vAlign w:val="center"/>
          </w:tcPr>
          <w:p>
            <w:pPr>
              <w:jc w:val="center"/>
              <w:rPr>
                <w:sz w:val="18"/>
                <w:szCs w:val="18"/>
              </w:rPr>
            </w:pPr>
          </w:p>
        </w:tc>
        <w:tc>
          <w:tcPr>
            <w:tcW w:w="985" w:type="dxa"/>
            <w:vAlign w:val="center"/>
          </w:tcPr>
          <w:p>
            <w:pPr>
              <w:jc w:val="center"/>
              <w:rPr>
                <w:sz w:val="18"/>
                <w:szCs w:val="18"/>
              </w:rPr>
            </w:pPr>
            <w:r>
              <w:rPr>
                <w:rFonts w:hint="eastAsia"/>
                <w:sz w:val="18"/>
                <w:szCs w:val="18"/>
              </w:rPr>
              <w:t>售后服务</w:t>
            </w:r>
          </w:p>
        </w:tc>
        <w:tc>
          <w:tcPr>
            <w:tcW w:w="567" w:type="dxa"/>
            <w:vAlign w:val="center"/>
          </w:tcPr>
          <w:p>
            <w:pPr>
              <w:jc w:val="center"/>
              <w:rPr>
                <w:sz w:val="18"/>
                <w:szCs w:val="18"/>
              </w:rPr>
            </w:pPr>
            <w:r>
              <w:rPr>
                <w:rFonts w:hint="eastAsia"/>
                <w:sz w:val="18"/>
                <w:szCs w:val="18"/>
              </w:rPr>
              <w:t>8</w:t>
            </w:r>
          </w:p>
        </w:tc>
        <w:tc>
          <w:tcPr>
            <w:tcW w:w="7546" w:type="dxa"/>
            <w:vAlign w:val="center"/>
          </w:tcPr>
          <w:p>
            <w:pPr>
              <w:jc w:val="left"/>
              <w:rPr>
                <w:rFonts w:hint="eastAsia"/>
                <w:sz w:val="18"/>
                <w:szCs w:val="18"/>
              </w:rPr>
            </w:pPr>
            <w:r>
              <w:rPr>
                <w:rFonts w:hint="eastAsia"/>
                <w:sz w:val="18"/>
                <w:szCs w:val="18"/>
              </w:rPr>
              <w:t>1.响应时间：投标人能在2小时内响应，上门提供售后服务的，计2分，能在24小时内响应，提供售后服务的，计1分，否则为不响应招标文件的实质性条款，视为无效投标；</w:t>
            </w:r>
          </w:p>
          <w:p>
            <w:pPr>
              <w:jc w:val="left"/>
              <w:rPr>
                <w:rFonts w:hint="eastAsia"/>
                <w:sz w:val="18"/>
                <w:szCs w:val="18"/>
              </w:rPr>
            </w:pPr>
            <w:r>
              <w:rPr>
                <w:rFonts w:hint="eastAsia"/>
                <w:sz w:val="18"/>
                <w:szCs w:val="18"/>
              </w:rPr>
              <w:t>2.后期设备维修优惠：投标人提供原厂标准易损件、耗材价格清单及折扣率，保修期届满后维修的价格清单及折扣率。此项由评委对比各投标人优惠程度进行打分，优计3分，良计2分，差计1分，无计0分；</w:t>
            </w:r>
          </w:p>
          <w:p>
            <w:pPr>
              <w:jc w:val="left"/>
              <w:rPr>
                <w:rFonts w:hint="eastAsia"/>
                <w:sz w:val="18"/>
                <w:szCs w:val="18"/>
              </w:rPr>
            </w:pPr>
            <w:r>
              <w:rPr>
                <w:rFonts w:hint="eastAsia"/>
                <w:sz w:val="18"/>
                <w:szCs w:val="18"/>
              </w:rPr>
              <w:t>3.免费售后服务年限：投标人承诺提供5年以上免费售后服务的，计1分，承诺3年以上5年以下免费售后服务的，计0.5分，承诺低于3年免费售后服务的，计0分；</w:t>
            </w:r>
          </w:p>
          <w:p>
            <w:pPr>
              <w:jc w:val="left"/>
              <w:rPr>
                <w:sz w:val="18"/>
                <w:szCs w:val="18"/>
              </w:rPr>
            </w:pPr>
            <w:r>
              <w:rPr>
                <w:rFonts w:hint="eastAsia"/>
                <w:sz w:val="18"/>
                <w:szCs w:val="18"/>
              </w:rPr>
              <w:t>4.其他实质性优惠条件：如投标人提出了其他实质性优惠条件，经评委评审合理的，一项加1分，加满2分为止。</w:t>
            </w:r>
          </w:p>
        </w:tc>
      </w:tr>
    </w:tbl>
    <w:p>
      <w:pPr>
        <w:adjustRightInd w:val="0"/>
        <w:snapToGrid w:val="0"/>
        <w:spacing w:line="360" w:lineRule="auto"/>
        <w:rPr>
          <w:rFonts w:ascii="黑体" w:hAnsi="宋体" w:eastAsia="黑体"/>
          <w:bCs/>
          <w:sz w:val="28"/>
          <w:szCs w:val="28"/>
        </w:rPr>
      </w:pPr>
      <w:r>
        <w:rPr>
          <w:rFonts w:hint="eastAsia" w:ascii="黑体" w:hAnsi="宋体" w:eastAsia="黑体"/>
          <w:bCs/>
          <w:sz w:val="24"/>
        </w:rPr>
        <w:t>注：所有评分标准中需要提供有效的证明文件或复印件，必须加盖公章；</w:t>
      </w:r>
      <w:bookmarkStart w:id="404" w:name="_Toc1262_WPSOffice_Level1"/>
      <w:bookmarkStart w:id="405" w:name="_Toc32727_WPSOffice_Level1"/>
    </w:p>
    <w:p>
      <w:pPr>
        <w:adjustRightInd w:val="0"/>
        <w:snapToGrid w:val="0"/>
        <w:spacing w:line="360" w:lineRule="auto"/>
        <w:rPr>
          <w:rFonts w:ascii="黑体" w:hAnsi="宋体" w:eastAsia="黑体"/>
          <w:bCs/>
          <w:sz w:val="28"/>
          <w:szCs w:val="28"/>
        </w:rPr>
      </w:pPr>
      <w:bookmarkStart w:id="406" w:name="_Toc24950_WPSOffice_Level3"/>
      <w:r>
        <w:rPr>
          <w:rFonts w:hint="eastAsia" w:ascii="黑体" w:hAnsi="宋体" w:eastAsia="黑体"/>
          <w:bCs/>
          <w:sz w:val="28"/>
          <w:szCs w:val="28"/>
        </w:rPr>
        <w:t>附页1</w:t>
      </w:r>
      <w:bookmarkEnd w:id="404"/>
      <w:bookmarkEnd w:id="405"/>
      <w:bookmarkEnd w:id="406"/>
    </w:p>
    <w:p>
      <w:pPr>
        <w:adjustRightInd w:val="0"/>
        <w:snapToGrid w:val="0"/>
        <w:spacing w:beforeLines="50" w:line="360" w:lineRule="auto"/>
        <w:ind w:right="26"/>
        <w:jc w:val="center"/>
        <w:rPr>
          <w:rFonts w:ascii="宋体" w:hAnsi="宋体" w:cs="仿宋"/>
          <w:b/>
          <w:sz w:val="28"/>
          <w:szCs w:val="28"/>
        </w:rPr>
      </w:pPr>
      <w:bookmarkStart w:id="407" w:name="_Toc24251_WPSOffice_Level2"/>
      <w:bookmarkStart w:id="408" w:name="_Toc2874_WPSOffice_Level2"/>
      <w:bookmarkStart w:id="409" w:name="_Toc25898_WPSOffice_Level2"/>
      <w:r>
        <w:rPr>
          <w:rFonts w:hint="eastAsia" w:ascii="宋体" w:hAnsi="宋体" w:cs="仿宋"/>
          <w:b/>
          <w:sz w:val="28"/>
          <w:szCs w:val="28"/>
        </w:rPr>
        <w:t>招标代理服务收费标准</w:t>
      </w:r>
      <w:bookmarkEnd w:id="407"/>
      <w:bookmarkEnd w:id="408"/>
      <w:bookmarkEnd w:id="409"/>
    </w:p>
    <w:tbl>
      <w:tblPr>
        <w:tblStyle w:val="40"/>
        <w:tblW w:w="8640"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1260"/>
        <w:gridCol w:w="54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4"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宋体" w:hAnsi="宋体" w:cs="仿宋"/>
                <w:b/>
                <w:szCs w:val="21"/>
              </w:rPr>
            </w:pPr>
            <w:r>
              <w:rPr>
                <w:rFonts w:hint="eastAsia" w:ascii="宋体" w:hAnsi="宋体" w:cs="仿宋"/>
                <w:b/>
                <w:szCs w:val="21"/>
              </w:rPr>
              <w:t>中标金额（万元）</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宋体" w:hAnsi="宋体" w:cs="仿宋"/>
                <w:b/>
                <w:szCs w:val="21"/>
              </w:rPr>
            </w:pPr>
            <w:r>
              <w:rPr>
                <w:rFonts w:hint="eastAsia" w:ascii="宋体" w:hAnsi="宋体" w:cs="仿宋"/>
                <w:b/>
                <w:szCs w:val="21"/>
              </w:rPr>
              <w:t>招标</w:t>
            </w:r>
          </w:p>
        </w:tc>
        <w:tc>
          <w:tcPr>
            <w:tcW w:w="5400" w:type="dxa"/>
            <w:tcBorders>
              <w:top w:val="single" w:color="auto" w:sz="4" w:space="0"/>
              <w:left w:val="single" w:color="auto" w:sz="6" w:space="0"/>
              <w:bottom w:val="single" w:color="auto" w:sz="4" w:space="0"/>
              <w:right w:val="single" w:color="auto" w:sz="4" w:space="0"/>
            </w:tcBorders>
            <w:vAlign w:val="center"/>
          </w:tcPr>
          <w:p>
            <w:pPr>
              <w:adjustRightInd w:val="0"/>
              <w:snapToGrid w:val="0"/>
              <w:spacing w:line="360" w:lineRule="auto"/>
              <w:jc w:val="center"/>
              <w:rPr>
                <w:rFonts w:ascii="宋体" w:hAnsi="宋体" w:cs="仿宋"/>
                <w:b/>
                <w:szCs w:val="21"/>
              </w:rPr>
            </w:pPr>
            <w:r>
              <w:rPr>
                <w:rFonts w:hint="eastAsia" w:ascii="宋体" w:hAnsi="宋体" w:cs="仿宋"/>
                <w:b/>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宋体" w:hAnsi="宋体" w:cs="仿宋"/>
                <w:sz w:val="24"/>
              </w:rPr>
            </w:pPr>
            <w:r>
              <w:rPr>
                <w:rFonts w:hint="eastAsia" w:ascii="宋体" w:hAnsi="宋体" w:cs="仿宋"/>
                <w:sz w:val="24"/>
              </w:rPr>
              <w:t>100以下</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宋体" w:hAnsi="宋体" w:cs="仿宋"/>
                <w:sz w:val="24"/>
              </w:rPr>
            </w:pPr>
            <w:r>
              <w:rPr>
                <w:rFonts w:hint="eastAsia" w:ascii="宋体" w:hAnsi="宋体" w:cs="仿宋"/>
                <w:sz w:val="24"/>
              </w:rPr>
              <w:t>1.5%</w:t>
            </w:r>
          </w:p>
        </w:tc>
        <w:tc>
          <w:tcPr>
            <w:tcW w:w="5400" w:type="dxa"/>
            <w:vMerge w:val="restart"/>
            <w:tcBorders>
              <w:top w:val="single" w:color="auto" w:sz="4" w:space="0"/>
              <w:left w:val="single" w:color="auto" w:sz="6" w:space="0"/>
              <w:right w:val="single" w:color="auto" w:sz="4" w:space="0"/>
            </w:tcBorders>
          </w:tcPr>
          <w:p>
            <w:pPr>
              <w:adjustRightInd w:val="0"/>
              <w:snapToGrid w:val="0"/>
              <w:spacing w:line="360" w:lineRule="auto"/>
              <w:ind w:right="26"/>
              <w:rPr>
                <w:rFonts w:ascii="宋体" w:hAnsi="宋体" w:cs="仿宋"/>
                <w:sz w:val="24"/>
              </w:rPr>
            </w:pPr>
            <w:r>
              <w:rPr>
                <w:rFonts w:hint="eastAsia" w:ascii="宋体" w:hAnsi="宋体" w:cs="仿宋"/>
                <w:sz w:val="24"/>
              </w:rPr>
              <w:t>招标代理服务收费按差额定率累进法计算。例如：某招标代理业务中标金额为6000万元，计算招标代理服务收费额如下：</w:t>
            </w:r>
          </w:p>
          <w:p>
            <w:pPr>
              <w:adjustRightInd w:val="0"/>
              <w:snapToGrid w:val="0"/>
              <w:spacing w:line="360" w:lineRule="auto"/>
              <w:ind w:right="26"/>
              <w:rPr>
                <w:rFonts w:ascii="宋体" w:hAnsi="宋体" w:cs="仿宋"/>
                <w:sz w:val="24"/>
              </w:rPr>
            </w:pPr>
            <w:r>
              <w:rPr>
                <w:rFonts w:hint="eastAsia" w:ascii="宋体" w:hAnsi="宋体" w:cs="仿宋"/>
                <w:sz w:val="24"/>
              </w:rPr>
              <w:t>100万元×1.5％＝1.5万元</w:t>
            </w:r>
          </w:p>
          <w:p>
            <w:pPr>
              <w:adjustRightInd w:val="0"/>
              <w:snapToGrid w:val="0"/>
              <w:spacing w:line="360" w:lineRule="auto"/>
              <w:ind w:right="26"/>
              <w:rPr>
                <w:rFonts w:ascii="宋体" w:hAnsi="宋体" w:cs="仿宋"/>
                <w:sz w:val="24"/>
              </w:rPr>
            </w:pPr>
            <w:r>
              <w:rPr>
                <w:rFonts w:hint="eastAsia" w:ascii="宋体" w:hAnsi="宋体" w:cs="仿宋"/>
                <w:sz w:val="24"/>
              </w:rPr>
              <w:t>（500一100）万元×1.1％＝4.4万元</w:t>
            </w:r>
          </w:p>
          <w:p>
            <w:pPr>
              <w:adjustRightInd w:val="0"/>
              <w:snapToGrid w:val="0"/>
              <w:spacing w:line="360" w:lineRule="auto"/>
              <w:ind w:right="26"/>
              <w:rPr>
                <w:rFonts w:ascii="宋体" w:hAnsi="宋体" w:cs="仿宋"/>
                <w:sz w:val="24"/>
              </w:rPr>
            </w:pPr>
            <w:r>
              <w:rPr>
                <w:rFonts w:hint="eastAsia" w:ascii="宋体" w:hAnsi="宋体" w:cs="仿宋"/>
                <w:sz w:val="24"/>
              </w:rPr>
              <w:t>（1000－500）万元×0.8％＝4万元</w:t>
            </w:r>
          </w:p>
          <w:p>
            <w:pPr>
              <w:adjustRightInd w:val="0"/>
              <w:snapToGrid w:val="0"/>
              <w:spacing w:line="360" w:lineRule="auto"/>
              <w:ind w:right="26"/>
              <w:rPr>
                <w:rFonts w:ascii="宋体" w:hAnsi="宋体" w:cs="仿宋"/>
                <w:sz w:val="24"/>
              </w:rPr>
            </w:pPr>
            <w:r>
              <w:rPr>
                <w:rFonts w:hint="eastAsia" w:ascii="宋体" w:hAnsi="宋体" w:cs="仿宋"/>
                <w:sz w:val="24"/>
              </w:rPr>
              <w:t>（5000—1000）万元×0.5％＝20万元</w:t>
            </w:r>
          </w:p>
          <w:p>
            <w:pPr>
              <w:adjustRightInd w:val="0"/>
              <w:snapToGrid w:val="0"/>
              <w:spacing w:line="360" w:lineRule="auto"/>
              <w:ind w:right="26"/>
              <w:rPr>
                <w:rFonts w:ascii="宋体" w:hAnsi="宋体" w:cs="仿宋"/>
                <w:sz w:val="24"/>
              </w:rPr>
            </w:pPr>
            <w:r>
              <w:rPr>
                <w:rFonts w:hint="eastAsia" w:ascii="宋体" w:hAnsi="宋体" w:cs="仿宋"/>
                <w:sz w:val="24"/>
              </w:rPr>
              <w:t>（6000—5000）万元×0.25％＝2.5万元</w:t>
            </w:r>
          </w:p>
          <w:p>
            <w:pPr>
              <w:adjustRightInd w:val="0"/>
              <w:snapToGrid w:val="0"/>
              <w:spacing w:line="360" w:lineRule="auto"/>
              <w:ind w:right="26"/>
              <w:rPr>
                <w:rFonts w:ascii="宋体" w:hAnsi="宋体" w:cs="仿宋"/>
                <w:sz w:val="24"/>
              </w:rPr>
            </w:pPr>
            <w:r>
              <w:rPr>
                <w:rFonts w:hint="eastAsia" w:ascii="宋体" w:hAnsi="宋体" w:cs="仿宋"/>
                <w:sz w:val="24"/>
              </w:rPr>
              <w:t>合计收费=1.5十4.4＋4＋20＋2.5＝32.4（万元）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100-500</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1.1%</w:t>
            </w:r>
          </w:p>
        </w:tc>
        <w:tc>
          <w:tcPr>
            <w:tcW w:w="5400" w:type="dxa"/>
            <w:vMerge w:val="continue"/>
            <w:tcBorders>
              <w:left w:val="single" w:color="auto" w:sz="6" w:space="0"/>
              <w:right w:val="single" w:color="auto" w:sz="4" w:space="0"/>
            </w:tcBorders>
          </w:tcPr>
          <w:p>
            <w:pPr>
              <w:adjustRightInd w:val="0"/>
              <w:snapToGrid w:val="0"/>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500-1000</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0.8%</w:t>
            </w:r>
          </w:p>
        </w:tc>
        <w:tc>
          <w:tcPr>
            <w:tcW w:w="5400" w:type="dxa"/>
            <w:vMerge w:val="continue"/>
            <w:tcBorders>
              <w:left w:val="single" w:color="auto" w:sz="6" w:space="0"/>
              <w:right w:val="single" w:color="auto" w:sz="4" w:space="0"/>
            </w:tcBorders>
          </w:tcPr>
          <w:p>
            <w:pPr>
              <w:adjustRightInd w:val="0"/>
              <w:snapToGrid w:val="0"/>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1000-5000</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0.5%</w:t>
            </w:r>
          </w:p>
        </w:tc>
        <w:tc>
          <w:tcPr>
            <w:tcW w:w="5400" w:type="dxa"/>
            <w:vMerge w:val="continue"/>
            <w:tcBorders>
              <w:left w:val="single" w:color="auto" w:sz="6" w:space="0"/>
              <w:right w:val="single" w:color="auto" w:sz="4" w:space="0"/>
            </w:tcBorders>
          </w:tcPr>
          <w:p>
            <w:pPr>
              <w:adjustRightInd w:val="0"/>
              <w:snapToGrid w:val="0"/>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5000-10000</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0.25%</w:t>
            </w:r>
          </w:p>
        </w:tc>
        <w:tc>
          <w:tcPr>
            <w:tcW w:w="5400" w:type="dxa"/>
            <w:vMerge w:val="continue"/>
            <w:tcBorders>
              <w:left w:val="single" w:color="auto" w:sz="6" w:space="0"/>
              <w:right w:val="single" w:color="auto" w:sz="4" w:space="0"/>
            </w:tcBorders>
          </w:tcPr>
          <w:p>
            <w:pPr>
              <w:adjustRightInd w:val="0"/>
              <w:snapToGrid w:val="0"/>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98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10000-100000</w:t>
            </w:r>
          </w:p>
        </w:tc>
        <w:tc>
          <w:tcPr>
            <w:tcW w:w="126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center"/>
              <w:rPr>
                <w:rFonts w:ascii="仿宋" w:hAnsi="仿宋" w:eastAsia="仿宋" w:cs="仿宋"/>
                <w:sz w:val="24"/>
              </w:rPr>
            </w:pPr>
            <w:r>
              <w:rPr>
                <w:rFonts w:hint="eastAsia" w:ascii="仿宋" w:hAnsi="仿宋" w:eastAsia="仿宋" w:cs="仿宋"/>
                <w:sz w:val="24"/>
              </w:rPr>
              <w:t>0.05%</w:t>
            </w:r>
          </w:p>
        </w:tc>
        <w:tc>
          <w:tcPr>
            <w:tcW w:w="5400" w:type="dxa"/>
            <w:vMerge w:val="continue"/>
            <w:tcBorders>
              <w:left w:val="single" w:color="auto" w:sz="6" w:space="0"/>
              <w:bottom w:val="single" w:color="auto" w:sz="4" w:space="0"/>
              <w:right w:val="single" w:color="auto" w:sz="4" w:space="0"/>
            </w:tcBorders>
          </w:tcPr>
          <w:p>
            <w:pPr>
              <w:adjustRightInd w:val="0"/>
              <w:snapToGrid w:val="0"/>
              <w:spacing w:line="360" w:lineRule="auto"/>
              <w:jc w:val="center"/>
              <w:rPr>
                <w:rFonts w:ascii="仿宋" w:hAnsi="仿宋" w:eastAsia="仿宋" w:cs="仿宋"/>
                <w:sz w:val="24"/>
              </w:rPr>
            </w:pPr>
          </w:p>
        </w:tc>
      </w:tr>
    </w:tbl>
    <w:p>
      <w:pPr>
        <w:adjustRightInd w:val="0"/>
        <w:snapToGrid w:val="0"/>
        <w:spacing w:line="360" w:lineRule="auto"/>
        <w:rPr>
          <w:rFonts w:ascii="仿宋" w:hAnsi="仿宋" w:eastAsia="仿宋" w:cs="仿宋"/>
          <w:b/>
          <w:sz w:val="24"/>
        </w:rPr>
      </w:pPr>
      <w:bookmarkStart w:id="410" w:name="_Toc389051279"/>
      <w:bookmarkStart w:id="411" w:name="_Toc399762976"/>
    </w:p>
    <w:p>
      <w:pPr>
        <w:adjustRightInd w:val="0"/>
        <w:snapToGrid w:val="0"/>
        <w:spacing w:line="360" w:lineRule="auto"/>
        <w:rPr>
          <w:rFonts w:ascii="仿宋" w:hAnsi="仿宋" w:eastAsia="仿宋" w:cs="仿宋"/>
          <w:b/>
          <w:sz w:val="24"/>
        </w:rPr>
      </w:pPr>
    </w:p>
    <w:p>
      <w:pPr>
        <w:adjustRightInd w:val="0"/>
        <w:snapToGrid w:val="0"/>
        <w:spacing w:line="360" w:lineRule="auto"/>
        <w:rPr>
          <w:rFonts w:ascii="仿宋" w:hAnsi="仿宋" w:eastAsia="仿宋" w:cs="仿宋"/>
          <w:b/>
          <w:sz w:val="24"/>
        </w:rPr>
      </w:pPr>
    </w:p>
    <w:p>
      <w:pPr>
        <w:adjustRightInd w:val="0"/>
        <w:snapToGrid w:val="0"/>
        <w:spacing w:line="360" w:lineRule="auto"/>
        <w:rPr>
          <w:rFonts w:ascii="仿宋" w:hAnsi="仿宋" w:eastAsia="仿宋" w:cs="仿宋"/>
          <w:b/>
          <w:sz w:val="24"/>
        </w:rPr>
      </w:pPr>
    </w:p>
    <w:p>
      <w:pPr>
        <w:adjustRightInd w:val="0"/>
        <w:snapToGrid w:val="0"/>
        <w:spacing w:line="360" w:lineRule="auto"/>
        <w:rPr>
          <w:rFonts w:ascii="仿宋" w:hAnsi="仿宋" w:eastAsia="仿宋" w:cs="仿宋"/>
          <w:b/>
          <w:sz w:val="24"/>
        </w:rPr>
      </w:pPr>
    </w:p>
    <w:p>
      <w:pPr>
        <w:widowControl/>
        <w:jc w:val="left"/>
        <w:rPr>
          <w:rFonts w:ascii="黑体" w:hAnsi="华文中宋" w:eastAsia="黑体"/>
          <w:b/>
          <w:sz w:val="32"/>
          <w:szCs w:val="32"/>
        </w:rPr>
      </w:pPr>
      <w:bookmarkStart w:id="412" w:name="_Toc536603278"/>
      <w:bookmarkStart w:id="413" w:name="_Toc30082_WPSOffice_Level1"/>
      <w:r>
        <w:rPr>
          <w:rFonts w:ascii="黑体" w:hAnsi="华文中宋" w:eastAsia="黑体"/>
          <w:b/>
          <w:sz w:val="32"/>
          <w:szCs w:val="32"/>
        </w:rPr>
        <w:br w:type="page"/>
      </w:r>
    </w:p>
    <w:p>
      <w:pPr>
        <w:pStyle w:val="22"/>
        <w:adjustRightInd w:val="0"/>
        <w:snapToGrid w:val="0"/>
        <w:spacing w:beforeLines="50" w:line="360" w:lineRule="auto"/>
        <w:jc w:val="center"/>
        <w:outlineLvl w:val="1"/>
        <w:rPr>
          <w:rFonts w:ascii="黑体" w:hAnsi="华文中宋" w:eastAsia="黑体"/>
          <w:b/>
          <w:sz w:val="32"/>
          <w:szCs w:val="32"/>
        </w:rPr>
      </w:pPr>
      <w:r>
        <w:rPr>
          <w:rFonts w:hint="eastAsia" w:ascii="黑体" w:hAnsi="华文中宋" w:eastAsia="黑体"/>
          <w:b/>
          <w:sz w:val="32"/>
          <w:szCs w:val="32"/>
        </w:rPr>
        <w:t xml:space="preserve">第七章 </w:t>
      </w:r>
      <w:bookmarkEnd w:id="410"/>
      <w:bookmarkEnd w:id="411"/>
      <w:r>
        <w:rPr>
          <w:rFonts w:hint="eastAsia" w:ascii="黑体" w:hAnsi="华文中宋" w:eastAsia="黑体"/>
          <w:b/>
          <w:sz w:val="32"/>
          <w:szCs w:val="32"/>
        </w:rPr>
        <w:t>招标公告</w:t>
      </w:r>
      <w:bookmarkEnd w:id="412"/>
      <w:bookmarkEnd w:id="413"/>
    </w:p>
    <w:p>
      <w:pPr>
        <w:pStyle w:val="22"/>
        <w:adjustRightInd w:val="0"/>
        <w:snapToGrid w:val="0"/>
        <w:spacing w:beforeLines="50" w:line="360" w:lineRule="auto"/>
        <w:ind w:firstLine="420" w:firstLineChars="200"/>
        <w:rPr>
          <w:rFonts w:hAnsi="宋体"/>
          <w:szCs w:val="24"/>
        </w:rPr>
      </w:pPr>
      <w:r>
        <w:rPr>
          <w:rFonts w:hint="eastAsia" w:hAnsi="宋体"/>
          <w:szCs w:val="24"/>
        </w:rPr>
        <w:t>湖南省湘咨工程咨询有限责任公司受平江县文化旅游广电体育局的委托，对平江县贫困地区村文化活动室设备购置项目进行公开招标采购，欢迎符合资格条件并对此有兴趣的投标人前来投标。</w:t>
      </w:r>
    </w:p>
    <w:p>
      <w:pPr>
        <w:adjustRightInd w:val="0"/>
        <w:snapToGrid w:val="0"/>
        <w:spacing w:beforeLines="50" w:line="360" w:lineRule="auto"/>
        <w:rPr>
          <w:rFonts w:ascii="宋体" w:hAnsi="宋体"/>
          <w:szCs w:val="21"/>
        </w:rPr>
      </w:pPr>
      <w:bookmarkStart w:id="414" w:name="_Toc13673_WPSOffice_Level2"/>
      <w:bookmarkStart w:id="415" w:name="_Toc18178_WPSOffice_Level2"/>
      <w:bookmarkStart w:id="416" w:name="_Toc20942_WPSOffice_Level2"/>
      <w:r>
        <w:rPr>
          <w:rFonts w:hint="eastAsia" w:ascii="宋体" w:hAnsi="宋体"/>
          <w:b/>
          <w:iCs/>
          <w:szCs w:val="21"/>
        </w:rPr>
        <w:t>一、采购</w:t>
      </w:r>
      <w:r>
        <w:rPr>
          <w:rFonts w:hint="eastAsia" w:ascii="宋体" w:hAnsi="宋体"/>
          <w:b/>
          <w:szCs w:val="21"/>
        </w:rPr>
        <w:t>项目的名称、用途及要求</w:t>
      </w:r>
      <w:r>
        <w:rPr>
          <w:rFonts w:hint="eastAsia" w:ascii="宋体" w:hAnsi="宋体"/>
          <w:szCs w:val="21"/>
        </w:rPr>
        <w:t>：</w:t>
      </w:r>
      <w:bookmarkEnd w:id="414"/>
      <w:bookmarkEnd w:id="415"/>
      <w:bookmarkEnd w:id="416"/>
    </w:p>
    <w:p>
      <w:pPr>
        <w:pStyle w:val="22"/>
        <w:adjustRightInd w:val="0"/>
        <w:snapToGrid w:val="0"/>
        <w:spacing w:beforeLines="50" w:line="276" w:lineRule="auto"/>
        <w:ind w:firstLine="420" w:firstLineChars="200"/>
        <w:rPr>
          <w:rFonts w:hAnsi="宋体"/>
          <w:szCs w:val="24"/>
        </w:rPr>
      </w:pPr>
      <w:r>
        <w:rPr>
          <w:rFonts w:hAnsi="宋体"/>
          <w:szCs w:val="24"/>
        </w:rPr>
        <w:t>项目名称：</w:t>
      </w:r>
      <w:r>
        <w:rPr>
          <w:rFonts w:hint="eastAsia" w:hAnsi="宋体"/>
          <w:szCs w:val="24"/>
        </w:rPr>
        <w:t>平江县贫困地区村文化活动室设备购置项目</w:t>
      </w:r>
    </w:p>
    <w:p>
      <w:pPr>
        <w:pStyle w:val="22"/>
        <w:adjustRightInd w:val="0"/>
        <w:snapToGrid w:val="0"/>
        <w:spacing w:beforeLines="50" w:line="276" w:lineRule="auto"/>
        <w:ind w:firstLine="420" w:firstLineChars="200"/>
        <w:rPr>
          <w:rFonts w:hAnsi="宋体"/>
          <w:szCs w:val="24"/>
        </w:rPr>
      </w:pPr>
      <w:r>
        <w:rPr>
          <w:rFonts w:hint="eastAsia" w:hAnsi="宋体"/>
          <w:szCs w:val="24"/>
        </w:rPr>
        <w:t>委托代理</w:t>
      </w:r>
      <w:r>
        <w:rPr>
          <w:rFonts w:hAnsi="宋体"/>
          <w:szCs w:val="24"/>
        </w:rPr>
        <w:t>编号：</w:t>
      </w:r>
      <w:r>
        <w:rPr>
          <w:rFonts w:hint="eastAsia" w:hAnsi="宋体"/>
          <w:szCs w:val="24"/>
        </w:rPr>
        <w:t xml:space="preserve">HNXZ-2019-YY-0032  </w:t>
      </w:r>
    </w:p>
    <w:p>
      <w:pPr>
        <w:pStyle w:val="22"/>
        <w:adjustRightInd w:val="0"/>
        <w:snapToGrid w:val="0"/>
        <w:spacing w:beforeLines="50" w:line="276" w:lineRule="auto"/>
        <w:ind w:firstLine="420" w:firstLineChars="200"/>
        <w:rPr>
          <w:rFonts w:hAnsi="宋体"/>
          <w:szCs w:val="24"/>
        </w:rPr>
      </w:pPr>
      <w:r>
        <w:rPr>
          <w:rFonts w:hint="eastAsia" w:hAnsi="宋体"/>
          <w:szCs w:val="24"/>
        </w:rPr>
        <w:t>政府采购计划编号：平财采计【2018】0938</w:t>
      </w:r>
    </w:p>
    <w:p>
      <w:pPr>
        <w:pStyle w:val="22"/>
        <w:adjustRightInd w:val="0"/>
        <w:snapToGrid w:val="0"/>
        <w:spacing w:beforeLines="50" w:line="276" w:lineRule="auto"/>
        <w:ind w:firstLine="420" w:firstLineChars="200"/>
        <w:rPr>
          <w:rFonts w:hAnsi="宋体"/>
          <w:szCs w:val="24"/>
        </w:rPr>
      </w:pPr>
      <w:r>
        <w:rPr>
          <w:rFonts w:hint="eastAsia" w:hAnsi="宋体"/>
          <w:szCs w:val="24"/>
        </w:rPr>
        <w:t>采购预算</w:t>
      </w:r>
      <w:r>
        <w:rPr>
          <w:rFonts w:hAnsi="宋体"/>
          <w:szCs w:val="24"/>
        </w:rPr>
        <w:t>：</w:t>
      </w:r>
      <w:r>
        <w:rPr>
          <w:rFonts w:hint="eastAsia" w:hAnsi="宋体"/>
          <w:szCs w:val="24"/>
        </w:rPr>
        <w:t xml:space="preserve">660万元                </w:t>
      </w:r>
    </w:p>
    <w:p>
      <w:pPr>
        <w:pStyle w:val="22"/>
        <w:adjustRightInd w:val="0"/>
        <w:snapToGrid w:val="0"/>
        <w:spacing w:beforeLines="50" w:line="276" w:lineRule="auto"/>
        <w:ind w:firstLine="420" w:firstLineChars="200"/>
        <w:rPr>
          <w:rFonts w:hAnsi="宋体"/>
          <w:szCs w:val="24"/>
        </w:rPr>
      </w:pPr>
      <w:r>
        <w:rPr>
          <w:rFonts w:hint="eastAsia" w:hAnsi="宋体"/>
          <w:szCs w:val="24"/>
        </w:rPr>
        <w:t>采购内容：</w:t>
      </w:r>
    </w:p>
    <w:tbl>
      <w:tblPr>
        <w:tblStyle w:val="40"/>
        <w:tblW w:w="9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4728"/>
        <w:gridCol w:w="1453"/>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序号</w:t>
            </w:r>
          </w:p>
        </w:tc>
        <w:tc>
          <w:tcPr>
            <w:tcW w:w="47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设备名称</w:t>
            </w:r>
          </w:p>
        </w:tc>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数量</w:t>
            </w:r>
          </w:p>
        </w:tc>
        <w:tc>
          <w:tcPr>
            <w:tcW w:w="21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用  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1</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广场舞音响</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360台</w:t>
            </w:r>
          </w:p>
        </w:tc>
        <w:tc>
          <w:tcPr>
            <w:tcW w:w="2166"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村级文化活动室文化设备</w:t>
            </w:r>
          </w:p>
          <w:p>
            <w:pPr>
              <w:widowControl/>
              <w:jc w:val="center"/>
              <w:rPr>
                <w:rFonts w:ascii="宋体" w:hAnsi="宋体" w:cs="宋体"/>
                <w:kern w:val="0"/>
                <w:sz w:val="22"/>
                <w:szCs w:val="28"/>
              </w:rPr>
            </w:pPr>
            <w:r>
              <w:rPr>
                <w:rFonts w:hint="eastAsia" w:ascii="宋体" w:hAnsi="宋体" w:cs="宋体"/>
                <w:kern w:val="0"/>
                <w:sz w:val="22"/>
                <w:szCs w:val="28"/>
              </w:rPr>
              <w:t>配送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2</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演出音响套装</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3</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投影仪</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20套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4</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触屏双系统移动音箱</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50套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5</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传统打击乐器</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6</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电子琴</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20台</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7</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军鼓</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380套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8</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二胡</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420把</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9</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笛子</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bl>
    <w:p>
      <w:pPr>
        <w:pStyle w:val="22"/>
        <w:adjustRightInd w:val="0"/>
        <w:snapToGrid w:val="0"/>
        <w:spacing w:beforeLines="50" w:line="276" w:lineRule="auto"/>
        <w:ind w:firstLine="420" w:firstLineChars="200"/>
        <w:rPr>
          <w:rFonts w:hAnsi="宋体"/>
          <w:szCs w:val="24"/>
        </w:rPr>
      </w:pPr>
      <w:r>
        <w:rPr>
          <w:rFonts w:hint="eastAsia" w:hAnsi="宋体"/>
          <w:szCs w:val="24"/>
        </w:rPr>
        <w:t>详见本招标文件第八章“采购需求”</w:t>
      </w:r>
    </w:p>
    <w:p>
      <w:pPr>
        <w:pStyle w:val="22"/>
        <w:adjustRightInd w:val="0"/>
        <w:snapToGrid w:val="0"/>
        <w:spacing w:beforeLines="50" w:line="276" w:lineRule="auto"/>
        <w:ind w:firstLine="420" w:firstLineChars="200"/>
        <w:rPr>
          <w:rFonts w:hAnsi="宋体"/>
          <w:szCs w:val="24"/>
        </w:rPr>
      </w:pPr>
      <w:r>
        <w:rPr>
          <w:rFonts w:hAnsi="宋体"/>
          <w:szCs w:val="24"/>
        </w:rPr>
        <w:t>采购方式：公开招标</w:t>
      </w:r>
      <w:r>
        <w:rPr>
          <w:rFonts w:hint="eastAsia" w:hAnsi="宋体"/>
          <w:szCs w:val="24"/>
        </w:rPr>
        <w:t xml:space="preserve">  </w:t>
      </w:r>
    </w:p>
    <w:p>
      <w:pPr>
        <w:pStyle w:val="22"/>
        <w:adjustRightInd w:val="0"/>
        <w:snapToGrid w:val="0"/>
        <w:spacing w:beforeLines="50" w:line="276" w:lineRule="auto"/>
        <w:ind w:firstLine="420" w:firstLineChars="200"/>
        <w:rPr>
          <w:rFonts w:hAnsi="宋体"/>
          <w:szCs w:val="24"/>
        </w:rPr>
      </w:pPr>
      <w:r>
        <w:rPr>
          <w:rFonts w:hAnsi="宋体"/>
          <w:szCs w:val="24"/>
        </w:rPr>
        <w:t>评标方法：综合评分法</w:t>
      </w:r>
    </w:p>
    <w:p>
      <w:pPr>
        <w:pStyle w:val="22"/>
        <w:adjustRightInd w:val="0"/>
        <w:snapToGrid w:val="0"/>
        <w:spacing w:beforeLines="50" w:line="276" w:lineRule="auto"/>
        <w:ind w:firstLine="420" w:firstLineChars="200"/>
        <w:rPr>
          <w:rFonts w:hAnsi="宋体"/>
          <w:szCs w:val="24"/>
        </w:rPr>
      </w:pPr>
      <w:r>
        <w:rPr>
          <w:rFonts w:hAnsi="宋体"/>
          <w:szCs w:val="24"/>
        </w:rPr>
        <w:t>资金来源：财政资金</w:t>
      </w:r>
    </w:p>
    <w:p>
      <w:pPr>
        <w:pStyle w:val="22"/>
        <w:adjustRightInd w:val="0"/>
        <w:snapToGrid w:val="0"/>
        <w:spacing w:beforeLines="50" w:line="276" w:lineRule="auto"/>
        <w:ind w:firstLine="420" w:firstLineChars="200"/>
        <w:rPr>
          <w:rFonts w:hAnsi="宋体"/>
          <w:szCs w:val="24"/>
        </w:rPr>
      </w:pPr>
      <w:r>
        <w:rPr>
          <w:rFonts w:hint="eastAsia" w:hAnsi="宋体"/>
          <w:szCs w:val="24"/>
        </w:rPr>
        <w:t>落实政府采购优惠政策：专门针对中小企业采购</w:t>
      </w:r>
    </w:p>
    <w:p>
      <w:pPr>
        <w:pStyle w:val="22"/>
        <w:adjustRightInd w:val="0"/>
        <w:snapToGrid w:val="0"/>
        <w:spacing w:beforeLines="50" w:line="360" w:lineRule="auto"/>
        <w:rPr>
          <w:rFonts w:hAnsi="宋体"/>
        </w:rPr>
      </w:pPr>
      <w:bookmarkStart w:id="417" w:name="_Toc15771_WPSOffice_Level2"/>
      <w:bookmarkStart w:id="418" w:name="_Toc6862_WPSOffice_Level2"/>
      <w:bookmarkStart w:id="419" w:name="_Toc13792_WPSOffice_Level2"/>
      <w:r>
        <w:rPr>
          <w:rFonts w:hint="eastAsia" w:hAnsi="宋体"/>
          <w:b/>
          <w:iCs/>
        </w:rPr>
        <w:t>二、投标人</w:t>
      </w:r>
      <w:r>
        <w:rPr>
          <w:rFonts w:hint="eastAsia" w:hAnsi="宋体"/>
          <w:b/>
        </w:rPr>
        <w:t>资格要求</w:t>
      </w:r>
      <w:r>
        <w:rPr>
          <w:rFonts w:hint="eastAsia" w:hAnsi="宋体"/>
        </w:rPr>
        <w:t>：</w:t>
      </w:r>
      <w:bookmarkEnd w:id="417"/>
      <w:bookmarkEnd w:id="418"/>
      <w:bookmarkEnd w:id="419"/>
    </w:p>
    <w:p>
      <w:pPr>
        <w:widowControl/>
        <w:spacing w:line="360" w:lineRule="auto"/>
        <w:jc w:val="left"/>
        <w:rPr>
          <w:rFonts w:ascii="宋体" w:hAnsi="宋体" w:cs="宋体"/>
          <w:b/>
          <w:bCs/>
        </w:rPr>
      </w:pPr>
      <w:bookmarkStart w:id="420" w:name="_Toc31737_WPSOffice_Level3"/>
      <w:bookmarkStart w:id="421" w:name="_Toc31057_WPSOffice_Level2"/>
      <w:bookmarkStart w:id="422" w:name="_Toc26195_WPSOffice_Level2"/>
      <w:r>
        <w:rPr>
          <w:rFonts w:hint="eastAsia" w:ascii="宋体" w:hAnsi="宋体" w:cs="宋体"/>
          <w:b/>
          <w:bCs/>
        </w:rPr>
        <w:t>1、基本资格条件：</w:t>
      </w:r>
      <w:bookmarkEnd w:id="420"/>
    </w:p>
    <w:p>
      <w:pPr>
        <w:widowControl/>
        <w:spacing w:line="360" w:lineRule="auto"/>
        <w:jc w:val="left"/>
        <w:rPr>
          <w:rFonts w:ascii="宋体" w:hAnsi="宋体" w:cs="宋体"/>
        </w:rPr>
      </w:pPr>
      <w:r>
        <w:rPr>
          <w:rFonts w:hint="eastAsia" w:ascii="宋体" w:hAnsi="宋体" w:cs="宋体"/>
        </w:rPr>
        <w:t>投标人需具备《中华人民共和国政府采购法》第二十二条规定的基本资格条件且为非失信被执行人，并提供以下资格证明文件：</w:t>
      </w:r>
    </w:p>
    <w:p>
      <w:pPr>
        <w:widowControl/>
        <w:spacing w:line="360" w:lineRule="auto"/>
        <w:jc w:val="left"/>
        <w:rPr>
          <w:rFonts w:ascii="宋体" w:hAnsi="宋体" w:cs="宋体"/>
        </w:rPr>
      </w:pPr>
      <w:r>
        <w:rPr>
          <w:rFonts w:hint="eastAsia" w:ascii="宋体" w:hAnsi="宋体" w:cs="宋体"/>
        </w:rPr>
        <w:t>（1）、法人或委托代理人提交企业法人营业执照副本(或者法人登记证书)原件；</w:t>
      </w:r>
    </w:p>
    <w:p>
      <w:pPr>
        <w:widowControl/>
        <w:spacing w:line="360" w:lineRule="auto"/>
        <w:jc w:val="left"/>
        <w:rPr>
          <w:rFonts w:ascii="宋体" w:hAnsi="宋体" w:cs="宋体"/>
        </w:rPr>
      </w:pPr>
      <w:r>
        <w:rPr>
          <w:rFonts w:hint="eastAsia" w:ascii="宋体" w:hAnsi="宋体" w:cs="宋体"/>
        </w:rPr>
        <w:t>（2）、法人提交法定代表人身份证明和法人身份证原件或者授权委托人提交法定代表人授权委托书原件并附法定代表人身份证明原件，授权委托人还应当提交身份证原件；</w:t>
      </w:r>
    </w:p>
    <w:p>
      <w:pPr>
        <w:widowControl/>
        <w:spacing w:line="360" w:lineRule="auto"/>
        <w:jc w:val="left"/>
        <w:rPr>
          <w:rFonts w:ascii="宋体" w:hAnsi="宋体" w:cs="宋体"/>
        </w:rPr>
      </w:pPr>
      <w:r>
        <w:rPr>
          <w:rFonts w:hint="eastAsia" w:ascii="宋体" w:hAnsi="宋体" w:cs="宋体"/>
        </w:rPr>
        <w:t>（3）、供应商具有实行了“三证合一”登记制度改革的新证，视同为持有工商营业执照、组织机构代码证和税务登记证，符合基本资格条件的相关条款；</w:t>
      </w:r>
    </w:p>
    <w:p>
      <w:pPr>
        <w:widowControl/>
        <w:spacing w:line="360" w:lineRule="auto"/>
        <w:jc w:val="left"/>
        <w:rPr>
          <w:rFonts w:ascii="宋体" w:hAnsi="宋体" w:cs="宋体"/>
        </w:rPr>
      </w:pPr>
      <w:r>
        <w:rPr>
          <w:rFonts w:hint="eastAsia" w:ascii="宋体" w:hAnsi="宋体" w:cs="宋体"/>
        </w:rPr>
        <w:t>（4）、依法缴纳税收和社会保险费的证明材料：《税务登记证》和《社会保险登记证》的复印件，或者近三个月依法缴纳税收和社会保险费的证明（纳税及缴费凭证复印件），或者委托他人缴纳的委托代办协议和近三个月缴纳证明（收据复印件），或者法定征收机关出具的依法免缴税费的证明原件。</w:t>
      </w:r>
    </w:p>
    <w:p>
      <w:pPr>
        <w:widowControl/>
        <w:spacing w:line="360" w:lineRule="auto"/>
        <w:jc w:val="left"/>
        <w:rPr>
          <w:rFonts w:ascii="宋体" w:hAnsi="宋体" w:cs="宋体"/>
        </w:rPr>
      </w:pPr>
      <w:r>
        <w:rPr>
          <w:rFonts w:hint="eastAsia" w:ascii="宋体" w:hAnsi="宋体" w:cs="宋体"/>
        </w:rPr>
        <w:t>（5）、投标人最近一个月内在“信用中国（www.creditchina.gov.cn）”或“国家企业信用信息公示系统（www.gsxt.gov.cn)”的查询中无重大失信等被禁止投标记录，提供查询结果截图打印件并加盖公章。</w:t>
      </w:r>
    </w:p>
    <w:p>
      <w:pPr>
        <w:widowControl/>
        <w:spacing w:line="360" w:lineRule="auto"/>
        <w:jc w:val="left"/>
        <w:rPr>
          <w:rFonts w:ascii="宋体" w:hAnsi="宋体" w:cs="宋体"/>
          <w:b/>
          <w:bCs/>
        </w:rPr>
      </w:pPr>
      <w:bookmarkStart w:id="423" w:name="_Toc31537_WPSOffice_Level3"/>
      <w:r>
        <w:rPr>
          <w:rFonts w:hint="eastAsia" w:ascii="宋体" w:hAnsi="宋体" w:cs="宋体"/>
          <w:b/>
          <w:bCs/>
        </w:rPr>
        <w:t>2、投标人特定资格要求：</w:t>
      </w:r>
      <w:bookmarkEnd w:id="423"/>
    </w:p>
    <w:p>
      <w:pPr>
        <w:widowControl/>
        <w:spacing w:line="360" w:lineRule="auto"/>
        <w:jc w:val="left"/>
        <w:rPr>
          <w:rFonts w:ascii="宋体" w:hAnsi="宋体" w:cs="宋体"/>
        </w:rPr>
      </w:pPr>
      <w:r>
        <w:rPr>
          <w:rFonts w:hint="eastAsia" w:ascii="宋体" w:hAnsi="宋体" w:cs="宋体"/>
        </w:rPr>
        <w:t>无</w:t>
      </w:r>
    </w:p>
    <w:p>
      <w:pPr>
        <w:adjustRightInd w:val="0"/>
        <w:snapToGrid w:val="0"/>
        <w:spacing w:beforeLines="50" w:line="360" w:lineRule="auto"/>
        <w:rPr>
          <w:rFonts w:ascii="宋体" w:hAnsi="宋体"/>
          <w:b/>
          <w:szCs w:val="21"/>
        </w:rPr>
      </w:pPr>
      <w:bookmarkStart w:id="424" w:name="_Toc20404_WPSOffice_Level2"/>
      <w:r>
        <w:rPr>
          <w:rFonts w:hint="eastAsia" w:ascii="宋体" w:hAnsi="宋体"/>
          <w:b/>
          <w:szCs w:val="21"/>
        </w:rPr>
        <w:t>三、获取招标文件的时间、地点、方式及招标文件售价：</w:t>
      </w:r>
      <w:bookmarkEnd w:id="421"/>
      <w:bookmarkEnd w:id="422"/>
      <w:bookmarkEnd w:id="424"/>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1、符合资格要求并有意参加本项目投标的必须办理数字CA,投标人在网上注册应对所提供的证件和证明材料的真实性承担法律责任。</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2、本次招标只支持网上支付标书费报名并从系统中下载招标文件。</w:t>
      </w:r>
    </w:p>
    <w:p>
      <w:pPr>
        <w:pStyle w:val="37"/>
        <w:spacing w:before="0" w:beforeAutospacing="0" w:after="0" w:afterAutospacing="0" w:line="360" w:lineRule="auto"/>
        <w:ind w:firstLine="315" w:firstLineChars="150"/>
        <w:jc w:val="both"/>
        <w:rPr>
          <w:rFonts w:ascii="Times New Roman" w:hAnsi="Times New Roman" w:cs="Times New Roman"/>
          <w:kern w:val="2"/>
          <w:sz w:val="21"/>
          <w:szCs w:val="21"/>
        </w:rPr>
      </w:pPr>
      <w:r>
        <w:rPr>
          <w:rFonts w:hint="eastAsia" w:ascii="Times New Roman" w:hAnsi="Times New Roman" w:cs="Times New Roman"/>
          <w:kern w:val="2"/>
          <w:sz w:val="21"/>
          <w:szCs w:val="21"/>
        </w:rPr>
        <w:t>联系电话：0730-2966088</w:t>
      </w:r>
    </w:p>
    <w:p>
      <w:pPr>
        <w:pStyle w:val="37"/>
        <w:spacing w:before="0" w:beforeAutospacing="0" w:after="0" w:afterAutospacing="0" w:line="360" w:lineRule="auto"/>
        <w:ind w:firstLine="315" w:firstLineChars="150"/>
        <w:jc w:val="both"/>
        <w:rPr>
          <w:rFonts w:ascii="Times New Roman" w:hAnsi="Times New Roman" w:cs="Times New Roman"/>
          <w:kern w:val="2"/>
          <w:sz w:val="21"/>
          <w:szCs w:val="21"/>
        </w:rPr>
      </w:pPr>
      <w:r>
        <w:rPr>
          <w:rFonts w:hint="eastAsia" w:ascii="Times New Roman" w:hAnsi="Times New Roman" w:cs="Times New Roman"/>
          <w:kern w:val="2"/>
          <w:sz w:val="21"/>
          <w:szCs w:val="21"/>
        </w:rPr>
        <w:t>地址：岳阳市公共资源交易中心（湖南省数字认证服务中心有限公司（民兴路与狮子山南路交叉口）庙坡碧玉湾（南门）43号门面）</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3、招标文件售价：人民币400元/本，只支持网银支付。本项目只有网上购买文件，投标人才有资格生成投标保证金账号，缴纳保证金。</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4、报名及招标文件提供下载期限：2019年2月13日至2019年2月19日，投标人应自行在岳阳市公共资源交易中心网上下载/获取招标文件、招标文件的澄清答疑等相关招标资料，恕不另行通知。投标人应及时关注网上相关招标信息，如有遗漏，招标人概不负责，所造成的投标失败或损失由投标人自行负责。</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5、本项目不安排会议答疑，供应商认为采购文件存在歧视性条款的，应在规定期限内以书面形式向湖南省湘咨工程咨询有限责任公司或采购人提出。 </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6、投标人应承诺为本次投标所提交的所有证明其合格和资格的文件是真实的和正确的，并愿为其真实性和正确性承担法律责任。</w:t>
      </w:r>
    </w:p>
    <w:p>
      <w:pPr>
        <w:adjustRightInd w:val="0"/>
        <w:snapToGrid w:val="0"/>
        <w:spacing w:beforeLines="50" w:line="360" w:lineRule="auto"/>
        <w:rPr>
          <w:rFonts w:ascii="宋体" w:hAnsi="宋体"/>
          <w:b/>
          <w:szCs w:val="21"/>
        </w:rPr>
      </w:pPr>
      <w:bookmarkStart w:id="425" w:name="_Toc11434_WPSOffice_Level2"/>
      <w:bookmarkStart w:id="426" w:name="_Toc18331_WPSOffice_Level2"/>
      <w:bookmarkStart w:id="427" w:name="_Toc146_WPSOffice_Level2"/>
      <w:r>
        <w:rPr>
          <w:rFonts w:hint="eastAsia" w:ascii="宋体" w:hAnsi="宋体"/>
          <w:b/>
          <w:szCs w:val="21"/>
        </w:rPr>
        <w:t>四、投标截止时间、开标时间及地点：</w:t>
      </w:r>
      <w:bookmarkEnd w:id="425"/>
      <w:bookmarkEnd w:id="426"/>
      <w:bookmarkEnd w:id="427"/>
    </w:p>
    <w:p>
      <w:pPr>
        <w:pStyle w:val="35"/>
        <w:spacing w:line="400" w:lineRule="exact"/>
        <w:ind w:firstLine="514" w:firstLineChars="245"/>
        <w:rPr>
          <w:rFonts w:ascii="宋体" w:hAnsi="宋体" w:cs="Arial"/>
          <w:szCs w:val="21"/>
          <w:u w:val="single"/>
        </w:rPr>
      </w:pPr>
      <w:r>
        <w:rPr>
          <w:rFonts w:hint="eastAsia" w:ascii="宋体" w:hAnsi="宋体"/>
          <w:bCs/>
          <w:szCs w:val="21"/>
        </w:rPr>
        <w:t>兹定于</w:t>
      </w:r>
      <w:r>
        <w:rPr>
          <w:rFonts w:hint="eastAsia" w:ascii="宋体" w:hAnsi="宋体"/>
          <w:bCs/>
          <w:szCs w:val="21"/>
          <w:u w:val="single"/>
        </w:rPr>
        <w:t xml:space="preserve"> 2019 </w:t>
      </w:r>
      <w:r>
        <w:rPr>
          <w:rFonts w:hint="eastAsia" w:ascii="宋体" w:hAnsi="宋体"/>
          <w:bCs/>
          <w:szCs w:val="21"/>
        </w:rPr>
        <w:t>年</w:t>
      </w:r>
      <w:r>
        <w:rPr>
          <w:rFonts w:hint="eastAsia" w:ascii="宋体" w:hAnsi="宋体"/>
          <w:bCs/>
          <w:szCs w:val="21"/>
          <w:u w:val="single"/>
        </w:rPr>
        <w:t xml:space="preserve"> 4 </w:t>
      </w:r>
      <w:r>
        <w:rPr>
          <w:rFonts w:hint="eastAsia" w:ascii="宋体" w:hAnsi="宋体"/>
          <w:bCs/>
          <w:szCs w:val="21"/>
        </w:rPr>
        <w:t>月</w:t>
      </w:r>
      <w:r>
        <w:rPr>
          <w:rFonts w:hint="eastAsia" w:ascii="宋体" w:hAnsi="宋体"/>
          <w:bCs/>
          <w:szCs w:val="21"/>
          <w:u w:val="single"/>
        </w:rPr>
        <w:t xml:space="preserve"> 29 </w:t>
      </w:r>
      <w:r>
        <w:rPr>
          <w:rFonts w:hint="eastAsia" w:ascii="宋体" w:hAnsi="宋体"/>
          <w:bCs/>
          <w:szCs w:val="21"/>
        </w:rPr>
        <w:t>日</w:t>
      </w:r>
      <w:r>
        <w:rPr>
          <w:rFonts w:hint="eastAsia" w:ascii="宋体" w:hAnsi="宋体"/>
          <w:bCs/>
          <w:szCs w:val="21"/>
          <w:u w:val="single"/>
        </w:rPr>
        <w:t xml:space="preserve"> 9 </w:t>
      </w:r>
      <w:r>
        <w:rPr>
          <w:rFonts w:hint="eastAsia" w:ascii="宋体" w:hAnsi="宋体"/>
          <w:bCs/>
          <w:szCs w:val="21"/>
        </w:rPr>
        <w:t>时</w:t>
      </w:r>
      <w:r>
        <w:rPr>
          <w:rFonts w:hint="eastAsia" w:ascii="宋体" w:hAnsi="宋体"/>
          <w:bCs/>
          <w:szCs w:val="21"/>
          <w:u w:val="single"/>
        </w:rPr>
        <w:t xml:space="preserve"> 00</w:t>
      </w:r>
      <w:r>
        <w:rPr>
          <w:rFonts w:hint="eastAsia" w:ascii="宋体" w:hAnsi="宋体"/>
          <w:bCs/>
          <w:szCs w:val="21"/>
        </w:rPr>
        <w:t>分（北京时间）在岳阳市公共资源交易中心开标厅（</w:t>
      </w:r>
      <w:r>
        <w:rPr>
          <w:rFonts w:hint="eastAsia"/>
          <w:szCs w:val="21"/>
        </w:rPr>
        <w:t>岳阳市民兴路与狮子山南路交叉口西南角丘山大厦）公开开标，逾期送达的、不按招标文件要求密封的投标文件或者未送达指定地点的投标文件将拒绝接收。届时请投标人的法定代表人或其委托代理人出席开标仪式，出示身份证原件并签名以示出席；否则，其投标将被拒绝。</w:t>
      </w:r>
    </w:p>
    <w:p>
      <w:pPr>
        <w:adjustRightInd w:val="0"/>
        <w:snapToGrid w:val="0"/>
        <w:spacing w:beforeLines="50" w:line="360" w:lineRule="auto"/>
        <w:rPr>
          <w:rFonts w:ascii="宋体" w:hAnsi="宋体"/>
          <w:b/>
          <w:szCs w:val="21"/>
        </w:rPr>
      </w:pPr>
      <w:bookmarkStart w:id="428" w:name="_Toc13093_WPSOffice_Level2"/>
      <w:bookmarkStart w:id="429" w:name="_Toc31903_WPSOffice_Level2"/>
      <w:bookmarkStart w:id="430" w:name="_Toc31681_WPSOffice_Level2"/>
      <w:r>
        <w:rPr>
          <w:rFonts w:hint="eastAsia" w:ascii="宋体" w:hAnsi="宋体"/>
          <w:b/>
          <w:szCs w:val="21"/>
        </w:rPr>
        <w:t>五、投标保证金：</w:t>
      </w:r>
      <w:bookmarkEnd w:id="428"/>
      <w:bookmarkEnd w:id="429"/>
      <w:bookmarkEnd w:id="430"/>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1、投标保证金金额：100000元（拾万元整）。</w:t>
      </w:r>
      <w:r>
        <w:rPr>
          <w:rFonts w:hint="eastAsia" w:ascii="Times New Roman" w:hAnsi="Times New Roman" w:cs="Times New Roman"/>
          <w:kern w:val="2"/>
          <w:sz w:val="21"/>
          <w:szCs w:val="21"/>
        </w:rPr>
        <w:br w:type="textWrapping"/>
      </w:r>
      <w:r>
        <w:rPr>
          <w:rFonts w:hint="eastAsia" w:ascii="Times New Roman" w:hAnsi="Times New Roman" w:cs="Times New Roman"/>
          <w:kern w:val="2"/>
          <w:sz w:val="21"/>
          <w:szCs w:val="21"/>
        </w:rPr>
        <w:t>2、投标保证金缴纳截止时间：2019年4月 28日12:00前（北京时间），以岳阳市公共资源交易中心保证金支付系统到账时间为准。</w:t>
      </w:r>
    </w:p>
    <w:p>
      <w:pPr>
        <w:pStyle w:val="37"/>
        <w:spacing w:before="0" w:beforeAutospacing="0" w:after="0" w:afterAutospacing="0" w:line="360" w:lineRule="auto"/>
        <w:jc w:val="both"/>
      </w:pPr>
      <w:r>
        <w:rPr>
          <w:rFonts w:hint="eastAsia" w:ascii="Times New Roman" w:hAnsi="Times New Roman" w:cs="Times New Roman"/>
          <w:kern w:val="2"/>
          <w:sz w:val="21"/>
          <w:szCs w:val="21"/>
        </w:rPr>
        <w:t>3、缴纳方式：投标保证金应以投标人银行账户转账等非现金形式递交。</w:t>
      </w:r>
    </w:p>
    <w:p>
      <w:pPr>
        <w:pStyle w:val="37"/>
        <w:spacing w:before="0" w:beforeAutospacing="0" w:after="0" w:afterAutospacing="0" w:line="360" w:lineRule="auto"/>
        <w:ind w:firstLine="420" w:firstLineChars="200"/>
        <w:jc w:val="both"/>
        <w:rPr>
          <w:rFonts w:ascii="Times New Roman" w:hAnsi="Times New Roman" w:cs="Times New Roman"/>
          <w:kern w:val="2"/>
          <w:sz w:val="21"/>
          <w:szCs w:val="21"/>
        </w:rPr>
      </w:pPr>
      <w:r>
        <w:rPr>
          <w:rFonts w:hint="eastAsia" w:ascii="Times New Roman" w:hAnsi="Times New Roman" w:cs="Times New Roman"/>
          <w:kern w:val="2"/>
          <w:sz w:val="21"/>
          <w:szCs w:val="21"/>
        </w:rPr>
        <w:t>账户名：岳阳市公共资源交易中心</w:t>
      </w:r>
    </w:p>
    <w:p>
      <w:pPr>
        <w:pStyle w:val="37"/>
        <w:spacing w:before="0" w:beforeAutospacing="0" w:after="0" w:afterAutospacing="0" w:line="360" w:lineRule="auto"/>
        <w:ind w:firstLine="420" w:firstLineChars="200"/>
        <w:jc w:val="both"/>
        <w:rPr>
          <w:rFonts w:ascii="Times New Roman" w:hAnsi="Times New Roman" w:cs="Times New Roman"/>
          <w:kern w:val="2"/>
          <w:sz w:val="21"/>
          <w:szCs w:val="21"/>
        </w:rPr>
      </w:pPr>
      <w:r>
        <w:rPr>
          <w:rFonts w:hint="eastAsia" w:ascii="Times New Roman" w:hAnsi="Times New Roman" w:cs="Times New Roman"/>
          <w:kern w:val="2"/>
          <w:sz w:val="21"/>
          <w:szCs w:val="21"/>
        </w:rPr>
        <w:t>开户行：投标人在网上可自行选择保证金专户银行账户</w:t>
      </w:r>
    </w:p>
    <w:p>
      <w:pPr>
        <w:pStyle w:val="37"/>
        <w:spacing w:before="0" w:beforeAutospacing="0" w:after="0" w:afterAutospacing="0" w:line="360" w:lineRule="auto"/>
        <w:ind w:firstLine="420" w:firstLineChars="200"/>
        <w:jc w:val="both"/>
        <w:rPr>
          <w:rFonts w:ascii="Times New Roman" w:hAnsi="Times New Roman" w:cs="Times New Roman"/>
          <w:kern w:val="2"/>
          <w:sz w:val="21"/>
          <w:szCs w:val="21"/>
        </w:rPr>
      </w:pPr>
      <w:r>
        <w:rPr>
          <w:rFonts w:hint="eastAsia" w:ascii="Times New Roman" w:hAnsi="Times New Roman" w:cs="Times New Roman"/>
          <w:kern w:val="2"/>
          <w:sz w:val="21"/>
          <w:szCs w:val="21"/>
        </w:rPr>
        <w:t>账号：投标保证金子账户的获取</w:t>
      </w:r>
    </w:p>
    <w:p>
      <w:pPr>
        <w:pStyle w:val="37"/>
        <w:spacing w:before="0" w:beforeAutospacing="0" w:after="0" w:afterAutospacing="0" w:line="360" w:lineRule="auto"/>
        <w:ind w:firstLine="420" w:firstLineChars="200"/>
        <w:jc w:val="both"/>
        <w:rPr>
          <w:rFonts w:ascii="Times New Roman" w:hAnsi="Times New Roman" w:cs="Times New Roman"/>
          <w:kern w:val="2"/>
          <w:sz w:val="21"/>
          <w:szCs w:val="21"/>
        </w:rPr>
      </w:pPr>
      <w:r>
        <w:rPr>
          <w:rFonts w:hint="eastAsia" w:ascii="Times New Roman" w:hAnsi="Times New Roman" w:cs="Times New Roman"/>
          <w:kern w:val="2"/>
          <w:sz w:val="21"/>
          <w:szCs w:val="21"/>
        </w:rPr>
        <w:t>（1）、投标人在岳阳市公共资源交易网（ggzy.yueyang.gov.cn）选择“电子交易平台登录”（首次登入需注册,完成注册并绑定投标人CA等相关手续后进入交易系统），投标人选择对应项目进行投标操作，生成对应本项目（标段）的投标保证金子账号。该账号为投标人缴纳本项目（标段）投标保证金的唯一账号，请注意保密。（投标人必须办理湖南CA数字证书才能完成登入及后续操作）</w:t>
      </w:r>
      <w:r>
        <w:rPr>
          <w:rFonts w:hint="eastAsia" w:ascii="Times New Roman" w:hAnsi="Times New Roman" w:cs="Times New Roman"/>
          <w:kern w:val="2"/>
          <w:sz w:val="21"/>
          <w:szCs w:val="21"/>
        </w:rPr>
        <w:br w:type="textWrapping"/>
      </w:r>
      <w:r>
        <w:rPr>
          <w:rFonts w:hint="eastAsia" w:ascii="Times New Roman" w:hAnsi="Times New Roman" w:cs="Times New Roman"/>
          <w:kern w:val="2"/>
          <w:sz w:val="21"/>
          <w:szCs w:val="21"/>
        </w:rPr>
        <w:t xml:space="preserve">    （2）、投标人在提交保证金时，应按照随机获取的保证金子账号信息准确填写银行账单（投标保证金只能从投标人的银行基本户转出），投标人可通过登入系统查询保证金到账及退还情况。</w:t>
      </w:r>
      <w:r>
        <w:rPr>
          <w:rFonts w:hint="eastAsia" w:ascii="Times New Roman" w:hAnsi="Times New Roman" w:cs="Times New Roman"/>
          <w:kern w:val="2"/>
          <w:sz w:val="21"/>
          <w:szCs w:val="21"/>
        </w:rPr>
        <w:br w:type="textWrapping"/>
      </w:r>
      <w:r>
        <w:rPr>
          <w:rFonts w:hint="eastAsia" w:ascii="Times New Roman" w:hAnsi="Times New Roman" w:cs="Times New Roman"/>
          <w:kern w:val="2"/>
          <w:sz w:val="21"/>
          <w:szCs w:val="21"/>
        </w:rPr>
        <w:t>4、CA数字证书办理</w:t>
      </w:r>
      <w:r>
        <w:rPr>
          <w:rFonts w:hint="eastAsia" w:ascii="Times New Roman" w:hAnsi="Times New Roman" w:cs="Times New Roman"/>
          <w:kern w:val="2"/>
          <w:sz w:val="21"/>
          <w:szCs w:val="21"/>
        </w:rPr>
        <w:br w:type="textWrapping"/>
      </w:r>
      <w:r>
        <w:rPr>
          <w:rFonts w:hint="eastAsia" w:ascii="Times New Roman" w:hAnsi="Times New Roman" w:cs="Times New Roman"/>
          <w:kern w:val="2"/>
          <w:sz w:val="21"/>
          <w:szCs w:val="21"/>
        </w:rPr>
        <w:t xml:space="preserve">    岳阳市公共资源交易中心（湖南省数字认证服务中心有限公司（民兴路与狮子山南路交叉口）庙坡碧玉湾（南门）43号门面）电话：0730-8181828。</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5、投标保证金应以投标人自身名义缴纳，其名称应与投标单位名称一致，不得以分支机构等其他名义缴纳。</w:t>
      </w:r>
    </w:p>
    <w:p>
      <w:pPr>
        <w:pStyle w:val="37"/>
        <w:spacing w:before="0" w:beforeAutospacing="0" w:after="0" w:afterAutospacing="0" w:line="360" w:lineRule="auto"/>
        <w:jc w:val="both"/>
        <w:rPr>
          <w:rFonts w:ascii="Times New Roman" w:hAnsi="Times New Roman" w:cs="Times New Roman"/>
          <w:kern w:val="2"/>
          <w:sz w:val="21"/>
          <w:szCs w:val="21"/>
        </w:rPr>
      </w:pPr>
      <w:r>
        <w:rPr>
          <w:rFonts w:hint="eastAsia" w:ascii="Times New Roman" w:hAnsi="Times New Roman" w:cs="Times New Roman"/>
          <w:kern w:val="2"/>
          <w:sz w:val="21"/>
          <w:szCs w:val="21"/>
        </w:rPr>
        <w:t>6、未按时足额缴纳投标保证金的，其投标将被拒绝。</w:t>
      </w:r>
    </w:p>
    <w:p>
      <w:pPr>
        <w:pStyle w:val="37"/>
        <w:spacing w:before="0" w:beforeAutospacing="0" w:after="0" w:afterAutospacing="0" w:line="360" w:lineRule="auto"/>
        <w:jc w:val="both"/>
        <w:rPr>
          <w:rFonts w:cs="Times New Roman"/>
          <w:b/>
          <w:kern w:val="2"/>
          <w:sz w:val="21"/>
          <w:szCs w:val="21"/>
        </w:rPr>
      </w:pPr>
      <w:bookmarkStart w:id="431" w:name="_Toc16150_WPSOffice_Level2"/>
      <w:bookmarkStart w:id="432" w:name="_Toc1025_WPSOffice_Level2"/>
      <w:bookmarkStart w:id="433" w:name="_Toc22317_WPSOffice_Level2"/>
      <w:r>
        <w:rPr>
          <w:rFonts w:hint="eastAsia" w:cs="Times New Roman"/>
          <w:b/>
          <w:kern w:val="2"/>
          <w:sz w:val="21"/>
          <w:szCs w:val="21"/>
        </w:rPr>
        <w:t>六、公告期限</w:t>
      </w:r>
      <w:bookmarkEnd w:id="431"/>
      <w:bookmarkEnd w:id="432"/>
      <w:bookmarkEnd w:id="433"/>
    </w:p>
    <w:p>
      <w:pPr>
        <w:pStyle w:val="37"/>
        <w:spacing w:before="0" w:beforeAutospacing="0" w:after="0" w:afterAutospacing="0"/>
        <w:ind w:firstLine="420" w:firstLineChars="200"/>
        <w:jc w:val="both"/>
        <w:rPr>
          <w:rFonts w:ascii="Times New Roman" w:hAnsi="Times New Roman" w:cs="Times New Roman"/>
          <w:kern w:val="2"/>
          <w:sz w:val="21"/>
          <w:szCs w:val="21"/>
        </w:rPr>
      </w:pPr>
      <w:r>
        <w:rPr>
          <w:rFonts w:hint="eastAsia" w:ascii="Times New Roman" w:hAnsi="Times New Roman" w:cs="Times New Roman"/>
          <w:kern w:val="2"/>
          <w:sz w:val="21"/>
          <w:szCs w:val="21"/>
        </w:rPr>
        <w:t>本项目招标公告的期限：自省级以上财政部门指定媒体最先发布本公告之日起五个工作日。</w:t>
      </w:r>
    </w:p>
    <w:p>
      <w:pPr>
        <w:adjustRightInd w:val="0"/>
        <w:snapToGrid w:val="0"/>
        <w:spacing w:beforeLines="50"/>
        <w:rPr>
          <w:rFonts w:ascii="宋体" w:hAnsi="宋体"/>
          <w:b/>
          <w:szCs w:val="21"/>
        </w:rPr>
      </w:pPr>
      <w:bookmarkStart w:id="434" w:name="_Toc31287_WPSOffice_Level2"/>
      <w:bookmarkStart w:id="435" w:name="_Toc15108_WPSOffice_Level2"/>
      <w:bookmarkStart w:id="436" w:name="_Toc10121_WPSOffice_Level2"/>
      <w:r>
        <w:rPr>
          <w:rFonts w:hint="eastAsia" w:ascii="宋体" w:hAnsi="宋体"/>
          <w:b/>
          <w:szCs w:val="21"/>
        </w:rPr>
        <w:t>七、采购项目联系人姓名和电话：</w:t>
      </w:r>
      <w:bookmarkEnd w:id="434"/>
      <w:bookmarkEnd w:id="435"/>
      <w:bookmarkEnd w:id="436"/>
    </w:p>
    <w:p>
      <w:pPr>
        <w:adjustRightInd w:val="0"/>
        <w:snapToGrid w:val="0"/>
        <w:spacing w:beforeLines="50"/>
        <w:ind w:firstLine="411" w:firstLineChars="196"/>
        <w:rPr>
          <w:rFonts w:ascii="宋体" w:hAnsi="宋体"/>
          <w:szCs w:val="21"/>
        </w:rPr>
      </w:pPr>
      <w:r>
        <w:rPr>
          <w:rFonts w:hint="eastAsia" w:ascii="宋体" w:hAnsi="宋体"/>
          <w:szCs w:val="21"/>
        </w:rPr>
        <w:t>采购人名称：平江县文化旅游广电体育局</w:t>
      </w:r>
    </w:p>
    <w:p>
      <w:pPr>
        <w:adjustRightInd w:val="0"/>
        <w:snapToGrid w:val="0"/>
        <w:spacing w:beforeLines="50"/>
        <w:ind w:firstLine="420" w:firstLineChars="200"/>
        <w:rPr>
          <w:rFonts w:ascii="宋体" w:hAnsi="宋体"/>
          <w:szCs w:val="21"/>
        </w:rPr>
      </w:pPr>
      <w:r>
        <w:rPr>
          <w:rFonts w:hint="eastAsia" w:ascii="宋体" w:hAnsi="宋体"/>
          <w:szCs w:val="21"/>
        </w:rPr>
        <w:t>地  址：平江县文化旅游广电体育局</w:t>
      </w:r>
    </w:p>
    <w:p>
      <w:pPr>
        <w:adjustRightInd w:val="0"/>
        <w:snapToGrid w:val="0"/>
        <w:spacing w:beforeLines="50"/>
        <w:ind w:firstLine="420" w:firstLineChars="200"/>
        <w:rPr>
          <w:rFonts w:ascii="宋体" w:hAnsi="宋体"/>
          <w:szCs w:val="21"/>
        </w:rPr>
      </w:pPr>
      <w:r>
        <w:rPr>
          <w:rFonts w:hint="eastAsia" w:hAnsi="宋体"/>
        </w:rPr>
        <w:t>联系人：吴先生</w:t>
      </w:r>
    </w:p>
    <w:p>
      <w:pPr>
        <w:adjustRightInd w:val="0"/>
        <w:snapToGrid w:val="0"/>
        <w:spacing w:beforeLines="50"/>
        <w:ind w:firstLine="420" w:firstLineChars="200"/>
        <w:rPr>
          <w:rFonts w:ascii="宋体" w:hAnsi="宋体"/>
          <w:szCs w:val="21"/>
          <w:highlight w:val="red"/>
        </w:rPr>
      </w:pPr>
      <w:r>
        <w:rPr>
          <w:rFonts w:hint="eastAsia" w:ascii="宋体" w:hAnsi="宋体"/>
          <w:szCs w:val="21"/>
        </w:rPr>
        <w:t>电  话：</w:t>
      </w:r>
      <w:r>
        <w:rPr>
          <w:rFonts w:hint="eastAsia" w:hAnsi="宋体"/>
        </w:rPr>
        <w:t>13762047888</w:t>
      </w:r>
    </w:p>
    <w:p>
      <w:pPr>
        <w:adjustRightInd w:val="0"/>
        <w:snapToGrid w:val="0"/>
        <w:spacing w:beforeLines="50"/>
        <w:ind w:left="6090" w:leftChars="200" w:hanging="5670" w:hangingChars="2700"/>
        <w:rPr>
          <w:rFonts w:ascii="宋体" w:hAnsi="宋体"/>
          <w:iCs/>
          <w:szCs w:val="21"/>
        </w:rPr>
      </w:pPr>
      <w:r>
        <w:rPr>
          <w:rFonts w:hint="eastAsia" w:ascii="宋体" w:hAnsi="宋体"/>
          <w:iCs/>
          <w:szCs w:val="21"/>
        </w:rPr>
        <w:t xml:space="preserve">采购代理机构名称： 湖南省湘咨工程咨询有限责任公司      </w:t>
      </w:r>
    </w:p>
    <w:p>
      <w:pPr>
        <w:adjustRightInd w:val="0"/>
        <w:snapToGrid w:val="0"/>
        <w:spacing w:beforeLines="50"/>
        <w:ind w:left="6090" w:leftChars="200" w:hanging="5670" w:hangingChars="2700"/>
        <w:rPr>
          <w:rFonts w:ascii="宋体" w:hAnsi="宋体"/>
          <w:szCs w:val="21"/>
        </w:rPr>
      </w:pPr>
      <w:r>
        <w:rPr>
          <w:rFonts w:hint="eastAsia" w:ascii="宋体" w:hAnsi="宋体"/>
          <w:szCs w:val="21"/>
        </w:rPr>
        <w:t>地  址：岳阳市岳阳楼区建湘路古井社区综合办公楼三楼</w:t>
      </w:r>
    </w:p>
    <w:p>
      <w:pPr>
        <w:adjustRightInd w:val="0"/>
        <w:snapToGrid w:val="0"/>
        <w:spacing w:beforeLines="50"/>
        <w:ind w:left="6090" w:leftChars="200" w:hanging="5670" w:hangingChars="2700"/>
        <w:rPr>
          <w:rFonts w:ascii="宋体" w:hAnsi="宋体"/>
          <w:szCs w:val="21"/>
        </w:rPr>
      </w:pPr>
      <w:r>
        <w:rPr>
          <w:rFonts w:hint="eastAsia" w:ascii="宋体" w:hAnsi="宋体"/>
          <w:szCs w:val="21"/>
        </w:rPr>
        <w:t>联系人：易女士</w:t>
      </w:r>
    </w:p>
    <w:p>
      <w:pPr>
        <w:adjustRightInd w:val="0"/>
        <w:snapToGrid w:val="0"/>
        <w:spacing w:beforeLines="50"/>
        <w:ind w:left="6090" w:leftChars="200" w:hanging="5670" w:hangingChars="2700"/>
        <w:jc w:val="left"/>
        <w:rPr>
          <w:rFonts w:ascii="宋体" w:hAnsi="宋体"/>
          <w:bCs/>
          <w:szCs w:val="21"/>
        </w:rPr>
      </w:pPr>
      <w:r>
        <w:rPr>
          <w:rFonts w:hint="eastAsia" w:ascii="宋体" w:hAnsi="宋体"/>
          <w:szCs w:val="21"/>
        </w:rPr>
        <w:t>电  话：0730-8213558</w:t>
      </w:r>
      <w:bookmarkStart w:id="437" w:name="_Toc399762977"/>
      <w:r>
        <w:rPr>
          <w:rFonts w:hint="eastAsia" w:ascii="宋体" w:hAnsi="宋体"/>
          <w:bCs/>
          <w:szCs w:val="21"/>
        </w:rPr>
        <w:t xml:space="preserve">   18390003331 </w:t>
      </w: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p>
    <w:p>
      <w:pPr>
        <w:adjustRightInd w:val="0"/>
        <w:snapToGrid w:val="0"/>
        <w:spacing w:beforeLines="50"/>
        <w:ind w:left="6090" w:leftChars="200" w:hanging="5670" w:hangingChars="2700"/>
        <w:jc w:val="left"/>
        <w:rPr>
          <w:rFonts w:ascii="宋体" w:hAnsi="宋体"/>
          <w:bCs/>
          <w:szCs w:val="21"/>
        </w:rPr>
      </w:pPr>
      <w:r>
        <w:rPr>
          <w:rFonts w:hint="eastAsia" w:ascii="宋体" w:hAnsi="宋体"/>
          <w:bCs/>
          <w:szCs w:val="21"/>
        </w:rPr>
        <w:t xml:space="preserve">          </w:t>
      </w:r>
      <w:bookmarkEnd w:id="437"/>
      <w:bookmarkStart w:id="438" w:name="_Toc6723"/>
      <w:bookmarkStart w:id="439" w:name="_Toc8430"/>
      <w:bookmarkStart w:id="440" w:name="_Toc492475634"/>
      <w:bookmarkStart w:id="441" w:name="_Toc29662"/>
      <w:bookmarkStart w:id="442" w:name="_Toc25589"/>
      <w:bookmarkStart w:id="443" w:name="_Toc21527_WPSOffice_Level1"/>
    </w:p>
    <w:p>
      <w:pPr>
        <w:spacing w:line="460" w:lineRule="exact"/>
        <w:rPr>
          <w:rFonts w:ascii="宋体" w:hAnsi="宋体"/>
          <w:b/>
          <w:sz w:val="24"/>
        </w:rPr>
      </w:pPr>
      <w:bookmarkStart w:id="444" w:name="_Toc536603279"/>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pStyle w:val="22"/>
        <w:adjustRightInd w:val="0"/>
        <w:snapToGrid w:val="0"/>
        <w:spacing w:beforeLines="50" w:line="360" w:lineRule="auto"/>
        <w:jc w:val="center"/>
        <w:outlineLvl w:val="1"/>
        <w:rPr>
          <w:rFonts w:ascii="黑体" w:hAnsi="华文中宋" w:eastAsia="黑体"/>
          <w:b/>
          <w:sz w:val="32"/>
          <w:szCs w:val="32"/>
        </w:rPr>
      </w:pPr>
      <w:r>
        <w:rPr>
          <w:rFonts w:hint="eastAsia" w:ascii="黑体" w:hAnsi="华文中宋" w:eastAsia="黑体"/>
          <w:b/>
          <w:sz w:val="32"/>
          <w:szCs w:val="32"/>
        </w:rPr>
        <w:t>第八章  技术标准和要求</w:t>
      </w:r>
      <w:bookmarkEnd w:id="438"/>
      <w:bookmarkEnd w:id="439"/>
      <w:bookmarkEnd w:id="440"/>
      <w:bookmarkEnd w:id="441"/>
      <w:bookmarkEnd w:id="442"/>
      <w:bookmarkEnd w:id="443"/>
      <w:bookmarkEnd w:id="444"/>
      <w:bookmarkStart w:id="445" w:name="page58"/>
      <w:bookmarkEnd w:id="445"/>
    </w:p>
    <w:p>
      <w:pPr>
        <w:spacing w:line="460" w:lineRule="exact"/>
        <w:rPr>
          <w:rFonts w:ascii="宋体" w:hAnsi="宋体"/>
          <w:b/>
          <w:sz w:val="24"/>
        </w:rPr>
      </w:pPr>
      <w:r>
        <w:rPr>
          <w:rFonts w:hint="eastAsia" w:ascii="宋体" w:hAnsi="宋体"/>
          <w:b/>
          <w:sz w:val="24"/>
        </w:rPr>
        <w:t>一、项目名称：平江县贫困地区村文化活动室设备购置项目</w:t>
      </w:r>
    </w:p>
    <w:p>
      <w:pPr>
        <w:spacing w:line="460" w:lineRule="exact"/>
        <w:rPr>
          <w:rFonts w:ascii="宋体" w:hAnsi="宋体"/>
          <w:szCs w:val="21"/>
        </w:rPr>
      </w:pPr>
    </w:p>
    <w:p>
      <w:pPr>
        <w:spacing w:line="460" w:lineRule="exact"/>
        <w:rPr>
          <w:rFonts w:ascii="宋体" w:hAnsi="宋体"/>
          <w:b/>
          <w:sz w:val="24"/>
        </w:rPr>
      </w:pPr>
      <w:r>
        <w:rPr>
          <w:rFonts w:hint="eastAsia" w:ascii="宋体" w:hAnsi="宋体"/>
          <w:b/>
          <w:sz w:val="24"/>
        </w:rPr>
        <w:t>二、采购内容：</w:t>
      </w:r>
    </w:p>
    <w:p>
      <w:pPr>
        <w:spacing w:line="460" w:lineRule="exact"/>
        <w:rPr>
          <w:rFonts w:ascii="宋体" w:hAnsi="宋体"/>
          <w:b/>
          <w:sz w:val="24"/>
        </w:rPr>
      </w:pPr>
    </w:p>
    <w:tbl>
      <w:tblPr>
        <w:tblStyle w:val="40"/>
        <w:tblW w:w="9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4728"/>
        <w:gridCol w:w="1453"/>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序号</w:t>
            </w:r>
          </w:p>
        </w:tc>
        <w:tc>
          <w:tcPr>
            <w:tcW w:w="47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设备名称</w:t>
            </w:r>
          </w:p>
        </w:tc>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数量</w:t>
            </w:r>
          </w:p>
        </w:tc>
        <w:tc>
          <w:tcPr>
            <w:tcW w:w="21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2"/>
                <w:szCs w:val="28"/>
              </w:rPr>
            </w:pPr>
            <w:r>
              <w:rPr>
                <w:rFonts w:hint="eastAsia" w:ascii="宋体" w:hAnsi="宋体" w:cs="宋体"/>
                <w:b/>
                <w:kern w:val="0"/>
                <w:sz w:val="22"/>
                <w:szCs w:val="28"/>
              </w:rPr>
              <w:t>用  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1</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广场舞音响</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360台</w:t>
            </w:r>
          </w:p>
        </w:tc>
        <w:tc>
          <w:tcPr>
            <w:tcW w:w="2166"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村级文化活动室文化设备</w:t>
            </w:r>
          </w:p>
          <w:p>
            <w:pPr>
              <w:widowControl/>
              <w:jc w:val="center"/>
              <w:rPr>
                <w:rFonts w:ascii="宋体" w:hAnsi="宋体" w:cs="宋体"/>
                <w:kern w:val="0"/>
                <w:sz w:val="22"/>
                <w:szCs w:val="28"/>
              </w:rPr>
            </w:pPr>
            <w:r>
              <w:rPr>
                <w:rFonts w:hint="eastAsia" w:ascii="宋体" w:hAnsi="宋体" w:cs="宋体"/>
                <w:kern w:val="0"/>
                <w:sz w:val="22"/>
                <w:szCs w:val="28"/>
              </w:rPr>
              <w:t>配送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2</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演出音响套装</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3</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投影仪</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20套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4</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触屏双系统移动音箱</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50套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5</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传统打击乐器</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6</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电子琴</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20台</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7</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军鼓</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380套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8</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二胡</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420把</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8"/>
              </w:rPr>
            </w:pPr>
            <w:r>
              <w:rPr>
                <w:rFonts w:hint="eastAsia" w:ascii="宋体" w:hAnsi="宋体" w:cs="宋体"/>
                <w:kern w:val="0"/>
                <w:sz w:val="22"/>
                <w:szCs w:val="28"/>
              </w:rPr>
              <w:t>9</w:t>
            </w:r>
          </w:p>
        </w:tc>
        <w:tc>
          <w:tcPr>
            <w:tcW w:w="4728" w:type="dxa"/>
            <w:tcBorders>
              <w:top w:val="single" w:color="auto" w:sz="4" w:space="0"/>
              <w:left w:val="single" w:color="auto" w:sz="4" w:space="0"/>
              <w:bottom w:val="single" w:color="auto" w:sz="4" w:space="0"/>
              <w:right w:val="single" w:color="auto" w:sz="4" w:space="0"/>
            </w:tcBorders>
            <w:vAlign w:val="center"/>
          </w:tcPr>
          <w:p>
            <w:pPr>
              <w:rPr>
                <w:rFonts w:ascii="宋体" w:hAnsi="宋体"/>
                <w:sz w:val="22"/>
                <w:szCs w:val="32"/>
              </w:rPr>
            </w:pPr>
            <w:r>
              <w:rPr>
                <w:rFonts w:hint="eastAsia" w:ascii="宋体" w:hAnsi="宋体"/>
                <w:sz w:val="22"/>
                <w:szCs w:val="32"/>
              </w:rPr>
              <w:t>笛子</w:t>
            </w:r>
          </w:p>
        </w:tc>
        <w:tc>
          <w:tcPr>
            <w:tcW w:w="1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szCs w:val="32"/>
              </w:rPr>
            </w:pPr>
            <w:r>
              <w:rPr>
                <w:rFonts w:hint="eastAsia" w:ascii="宋体" w:hAnsi="宋体"/>
                <w:sz w:val="22"/>
                <w:szCs w:val="32"/>
              </w:rPr>
              <w:t>360套</w:t>
            </w:r>
          </w:p>
        </w:tc>
        <w:tc>
          <w:tcPr>
            <w:tcW w:w="2166" w:type="dxa"/>
            <w:vMerge w:val="continue"/>
            <w:tcBorders>
              <w:left w:val="single" w:color="auto" w:sz="4" w:space="0"/>
              <w:right w:val="single" w:color="auto" w:sz="4" w:space="0"/>
            </w:tcBorders>
            <w:vAlign w:val="center"/>
          </w:tcPr>
          <w:p>
            <w:pPr>
              <w:widowControl/>
              <w:jc w:val="center"/>
              <w:rPr>
                <w:rFonts w:ascii="宋体" w:hAnsi="宋体" w:cs="宋体"/>
                <w:kern w:val="0"/>
                <w:sz w:val="22"/>
                <w:szCs w:val="28"/>
              </w:rPr>
            </w:pPr>
          </w:p>
        </w:tc>
      </w:tr>
    </w:tbl>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p>
    <w:p>
      <w:pPr>
        <w:spacing w:line="460" w:lineRule="exact"/>
        <w:rPr>
          <w:rFonts w:ascii="宋体" w:hAnsi="宋体"/>
          <w:b/>
          <w:sz w:val="24"/>
        </w:rPr>
      </w:pPr>
      <w:r>
        <w:rPr>
          <w:rFonts w:hint="eastAsia" w:ascii="宋体" w:hAnsi="宋体"/>
          <w:b/>
          <w:sz w:val="24"/>
        </w:rPr>
        <w:t>三、技术参数及要求</w:t>
      </w:r>
    </w:p>
    <w:tbl>
      <w:tblPr>
        <w:tblStyle w:val="40"/>
        <w:tblW w:w="93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
        <w:gridCol w:w="1248"/>
        <w:gridCol w:w="4304"/>
        <w:gridCol w:w="1490"/>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2" w:hRule="atLeast"/>
          <w:jc w:val="center"/>
        </w:trPr>
        <w:tc>
          <w:tcPr>
            <w:tcW w:w="734" w:type="dxa"/>
            <w:vMerge w:val="restart"/>
            <w:vAlign w:val="center"/>
          </w:tcPr>
          <w:p>
            <w:pPr>
              <w:jc w:val="center"/>
              <w:rPr>
                <w:rFonts w:ascii="仿宋_GB2312" w:eastAsia="仿宋_GB2312"/>
                <w:b/>
                <w:sz w:val="24"/>
              </w:rPr>
            </w:pPr>
            <w:r>
              <w:rPr>
                <w:rFonts w:hint="eastAsia" w:ascii="仿宋_GB2312" w:eastAsia="仿宋_GB2312"/>
                <w:b/>
                <w:sz w:val="24"/>
              </w:rPr>
              <w:t>序号</w:t>
            </w:r>
          </w:p>
        </w:tc>
        <w:tc>
          <w:tcPr>
            <w:tcW w:w="1248" w:type="dxa"/>
            <w:vMerge w:val="restart"/>
            <w:vAlign w:val="center"/>
          </w:tcPr>
          <w:p>
            <w:pPr>
              <w:jc w:val="center"/>
              <w:rPr>
                <w:rFonts w:ascii="仿宋_GB2312" w:eastAsia="仿宋_GB2312"/>
                <w:b/>
                <w:sz w:val="24"/>
              </w:rPr>
            </w:pPr>
            <w:r>
              <w:rPr>
                <w:rFonts w:hint="eastAsia" w:ascii="仿宋_GB2312" w:eastAsia="仿宋_GB2312"/>
                <w:b/>
                <w:sz w:val="24"/>
              </w:rPr>
              <w:t>项目名称</w:t>
            </w:r>
          </w:p>
        </w:tc>
        <w:tc>
          <w:tcPr>
            <w:tcW w:w="7378" w:type="dxa"/>
            <w:gridSpan w:val="3"/>
            <w:tcMar>
              <w:top w:w="0" w:type="dxa"/>
              <w:left w:w="108" w:type="dxa"/>
              <w:bottom w:w="0" w:type="dxa"/>
              <w:right w:w="108" w:type="dxa"/>
            </w:tcMar>
            <w:vAlign w:val="center"/>
          </w:tcPr>
          <w:p>
            <w:pPr>
              <w:jc w:val="center"/>
              <w:rPr>
                <w:rFonts w:ascii="仿宋_GB2312" w:eastAsia="仿宋_GB2312"/>
                <w:b/>
                <w:sz w:val="24"/>
              </w:rPr>
            </w:pPr>
            <w:r>
              <w:rPr>
                <w:rFonts w:hint="eastAsia" w:ascii="仿宋_GB2312" w:eastAsia="仿宋_GB2312"/>
                <w:b/>
                <w:sz w:val="24"/>
              </w:rPr>
              <w:t>项目主要需求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2" w:hRule="atLeast"/>
          <w:jc w:val="center"/>
        </w:trPr>
        <w:tc>
          <w:tcPr>
            <w:tcW w:w="734" w:type="dxa"/>
            <w:vMerge w:val="continue"/>
            <w:vAlign w:val="center"/>
          </w:tcPr>
          <w:p>
            <w:pPr>
              <w:jc w:val="center"/>
              <w:rPr>
                <w:rFonts w:ascii="仿宋_GB2312" w:eastAsia="仿宋_GB2312"/>
                <w:b/>
                <w:sz w:val="24"/>
              </w:rPr>
            </w:pPr>
          </w:p>
        </w:tc>
        <w:tc>
          <w:tcPr>
            <w:tcW w:w="1248" w:type="dxa"/>
            <w:vMerge w:val="continue"/>
            <w:vAlign w:val="center"/>
          </w:tcPr>
          <w:p>
            <w:pPr>
              <w:jc w:val="center"/>
              <w:rPr>
                <w:rFonts w:ascii="仿宋_GB2312" w:eastAsia="仿宋_GB2312"/>
                <w:b/>
                <w:sz w:val="24"/>
              </w:rPr>
            </w:pPr>
          </w:p>
        </w:tc>
        <w:tc>
          <w:tcPr>
            <w:tcW w:w="4304" w:type="dxa"/>
            <w:tcMar>
              <w:top w:w="0" w:type="dxa"/>
              <w:left w:w="108" w:type="dxa"/>
              <w:bottom w:w="0" w:type="dxa"/>
              <w:right w:w="108" w:type="dxa"/>
            </w:tcMar>
            <w:vAlign w:val="center"/>
          </w:tcPr>
          <w:p>
            <w:pPr>
              <w:jc w:val="center"/>
              <w:rPr>
                <w:rFonts w:ascii="仿宋_GB2312" w:eastAsia="仿宋_GB2312"/>
                <w:b/>
                <w:sz w:val="24"/>
              </w:rPr>
            </w:pPr>
            <w:r>
              <w:rPr>
                <w:rFonts w:hint="eastAsia" w:ascii="仿宋_GB2312" w:eastAsia="仿宋_GB2312"/>
                <w:b/>
                <w:sz w:val="24"/>
              </w:rPr>
              <w:t>技  术</w:t>
            </w:r>
          </w:p>
        </w:tc>
        <w:tc>
          <w:tcPr>
            <w:tcW w:w="1490" w:type="dxa"/>
            <w:tcMar>
              <w:top w:w="0" w:type="dxa"/>
              <w:left w:w="108" w:type="dxa"/>
              <w:bottom w:w="0" w:type="dxa"/>
              <w:right w:w="108" w:type="dxa"/>
            </w:tcMar>
            <w:vAlign w:val="center"/>
          </w:tcPr>
          <w:p>
            <w:pPr>
              <w:jc w:val="center"/>
              <w:rPr>
                <w:rFonts w:ascii="仿宋_GB2312" w:eastAsia="仿宋_GB2312"/>
                <w:b/>
                <w:sz w:val="24"/>
              </w:rPr>
            </w:pPr>
            <w:r>
              <w:rPr>
                <w:rFonts w:hint="eastAsia" w:ascii="仿宋_GB2312" w:eastAsia="仿宋_GB2312"/>
                <w:b/>
                <w:sz w:val="24"/>
              </w:rPr>
              <w:t>服务</w:t>
            </w:r>
          </w:p>
        </w:tc>
        <w:tc>
          <w:tcPr>
            <w:tcW w:w="1584" w:type="dxa"/>
            <w:tcMar>
              <w:top w:w="0" w:type="dxa"/>
              <w:left w:w="108" w:type="dxa"/>
              <w:bottom w:w="0" w:type="dxa"/>
              <w:right w:w="108" w:type="dxa"/>
            </w:tcMar>
            <w:vAlign w:val="center"/>
          </w:tcPr>
          <w:p>
            <w:pPr>
              <w:jc w:val="center"/>
              <w:rPr>
                <w:rFonts w:ascii="仿宋_GB2312" w:eastAsia="仿宋_GB2312"/>
                <w:b/>
                <w:sz w:val="24"/>
              </w:rPr>
            </w:pPr>
            <w:r>
              <w:rPr>
                <w:rFonts w:hint="eastAsia" w:ascii="仿宋_GB2312" w:eastAsia="仿宋_GB2312"/>
                <w:b/>
                <w:sz w:val="24"/>
              </w:rPr>
              <w:t>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39"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1</w:t>
            </w:r>
          </w:p>
        </w:tc>
        <w:tc>
          <w:tcPr>
            <w:tcW w:w="1248" w:type="dxa"/>
            <w:vAlign w:val="center"/>
          </w:tcPr>
          <w:p>
            <w:pPr>
              <w:widowControl/>
              <w:rPr>
                <w:rFonts w:ascii="宋体" w:hAnsi="宋体"/>
                <w:szCs w:val="21"/>
              </w:rPr>
            </w:pPr>
            <w:r>
              <w:rPr>
                <w:rFonts w:hint="eastAsia" w:ascii="宋体" w:hAnsi="宋体"/>
                <w:szCs w:val="21"/>
              </w:rPr>
              <w:t>广场舞音响</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 全电子音量/菜单控制带WIFI+1080P安卓系统，可网络点歌、看新闻、电源、电视剧，可播放MP4、MP5等主流音视频文件，可手机投屏，12寸高清触摸显示屏，八核蕊片、内置8G内存</w:t>
            </w:r>
          </w:p>
          <w:p>
            <w:pPr>
              <w:widowControl/>
              <w:rPr>
                <w:rFonts w:ascii="宋体" w:hAnsi="宋体"/>
                <w:szCs w:val="21"/>
              </w:rPr>
            </w:pPr>
            <w:r>
              <w:rPr>
                <w:rFonts w:hint="eastAsia" w:ascii="宋体" w:hAnsi="宋体"/>
                <w:szCs w:val="21"/>
              </w:rPr>
              <w:t>2.12寸专业低音+2只专业高音</w:t>
            </w:r>
          </w:p>
          <w:p>
            <w:pPr>
              <w:widowControl/>
              <w:rPr>
                <w:rFonts w:ascii="宋体" w:hAnsi="宋体"/>
                <w:szCs w:val="21"/>
              </w:rPr>
            </w:pPr>
            <w:r>
              <w:rPr>
                <w:rFonts w:hint="eastAsia" w:ascii="宋体" w:hAnsi="宋体"/>
                <w:szCs w:val="21"/>
              </w:rPr>
              <w:t>3.双USB+SD接口俱全；带语音提示，蓝牙、收音、录音、话筒优先、消原音，蓝牙无线串联等。</w:t>
            </w:r>
          </w:p>
          <w:p>
            <w:pPr>
              <w:widowControl/>
              <w:rPr>
                <w:rFonts w:ascii="宋体" w:hAnsi="宋体"/>
                <w:szCs w:val="21"/>
              </w:rPr>
            </w:pPr>
            <w:r>
              <w:rPr>
                <w:rFonts w:hint="eastAsia" w:ascii="宋体" w:hAnsi="宋体"/>
                <w:szCs w:val="21"/>
              </w:rPr>
              <w:t>4.峰值功率（POWER）：350W</w:t>
            </w:r>
          </w:p>
          <w:p>
            <w:pPr>
              <w:widowControl/>
              <w:rPr>
                <w:rFonts w:ascii="宋体" w:hAnsi="宋体"/>
                <w:szCs w:val="21"/>
              </w:rPr>
            </w:pPr>
            <w:r>
              <w:rPr>
                <w:rFonts w:hint="eastAsia" w:ascii="宋体" w:hAnsi="宋体"/>
                <w:szCs w:val="21"/>
              </w:rPr>
              <w:t>5.灵敏度（sensitivity）:80db</w:t>
            </w:r>
          </w:p>
          <w:p>
            <w:pPr>
              <w:widowControl/>
              <w:rPr>
                <w:rFonts w:ascii="宋体" w:hAnsi="宋体"/>
                <w:szCs w:val="21"/>
              </w:rPr>
            </w:pPr>
            <w:r>
              <w:rPr>
                <w:rFonts w:hint="eastAsia" w:ascii="宋体" w:hAnsi="宋体"/>
                <w:szCs w:val="21"/>
              </w:rPr>
              <w:t xml:space="preserve">6.频率响应（frequency）: 30Hz-20KHz </w:t>
            </w:r>
          </w:p>
          <w:p>
            <w:pPr>
              <w:widowControl/>
              <w:rPr>
                <w:rFonts w:ascii="宋体" w:hAnsi="宋体"/>
                <w:szCs w:val="21"/>
              </w:rPr>
            </w:pPr>
            <w:r>
              <w:rPr>
                <w:rFonts w:hint="eastAsia" w:ascii="宋体" w:hAnsi="宋体"/>
                <w:szCs w:val="21"/>
              </w:rPr>
              <w:t>7.阻抗：（impedance）: 4-8Ω</w:t>
            </w:r>
          </w:p>
          <w:p>
            <w:pPr>
              <w:widowControl/>
              <w:rPr>
                <w:rFonts w:ascii="宋体" w:hAnsi="宋体"/>
                <w:szCs w:val="21"/>
              </w:rPr>
            </w:pPr>
            <w:r>
              <w:rPr>
                <w:rFonts w:hint="eastAsia" w:ascii="宋体" w:hAnsi="宋体"/>
                <w:szCs w:val="21"/>
              </w:rPr>
              <w:t>8.充电安全保护功能：PWM宽电压开关电源，恒压充电，长时间充电对电瓶无影响</w:t>
            </w:r>
          </w:p>
          <w:p>
            <w:pPr>
              <w:widowControl/>
              <w:rPr>
                <w:rFonts w:ascii="宋体" w:hAnsi="宋体"/>
                <w:szCs w:val="21"/>
              </w:rPr>
            </w:pPr>
            <w:r>
              <w:rPr>
                <w:rFonts w:hint="eastAsia" w:ascii="宋体" w:hAnsi="宋体"/>
                <w:szCs w:val="21"/>
              </w:rPr>
              <w:t>9.内置14安时大容量铅酸电池</w:t>
            </w:r>
          </w:p>
          <w:p>
            <w:pPr>
              <w:widowControl/>
              <w:rPr>
                <w:rFonts w:ascii="宋体" w:hAnsi="宋体"/>
                <w:szCs w:val="21"/>
              </w:rPr>
            </w:pPr>
            <w:r>
              <w:rPr>
                <w:rFonts w:hint="eastAsia" w:ascii="宋体" w:hAnsi="宋体"/>
                <w:szCs w:val="21"/>
              </w:rPr>
              <w:t>10.放电保护功能：机器具有智能软开关机，机器正常播放时，当电瓶电量到达最低（9.6V）时，自动关机保护，保证电瓶放电电流绝对为零。</w:t>
            </w:r>
          </w:p>
          <w:p>
            <w:pPr>
              <w:widowControl/>
              <w:rPr>
                <w:rFonts w:ascii="宋体" w:hAnsi="宋体"/>
                <w:szCs w:val="21"/>
              </w:rPr>
            </w:pPr>
            <w:r>
              <w:rPr>
                <w:rFonts w:hint="eastAsia" w:ascii="宋体" w:hAnsi="宋体"/>
                <w:szCs w:val="21"/>
              </w:rPr>
              <w:t>11.面板带音视频输入，话筒乐器输入，音乐高低音.话筒高低音.有线音量，无线音量.总音量以及混响音量均可独立调节.外接12V电源座子，8字充电座，带2只红绿智能开关.</w:t>
            </w:r>
          </w:p>
          <w:p>
            <w:pPr>
              <w:widowControl/>
              <w:rPr>
                <w:rFonts w:ascii="宋体" w:hAnsi="宋体"/>
                <w:szCs w:val="21"/>
              </w:rPr>
            </w:pPr>
            <w:r>
              <w:rPr>
                <w:rFonts w:hint="eastAsia" w:ascii="宋体" w:hAnsi="宋体"/>
                <w:szCs w:val="21"/>
              </w:rPr>
              <w:t>12.带2只UHF无线专业话筒</w:t>
            </w:r>
          </w:p>
          <w:p>
            <w:pPr>
              <w:widowControl/>
              <w:rPr>
                <w:rFonts w:ascii="宋体" w:hAnsi="宋体"/>
                <w:szCs w:val="21"/>
              </w:rPr>
            </w:pPr>
            <w:r>
              <w:rPr>
                <w:rFonts w:hint="eastAsia" w:ascii="宋体" w:hAnsi="宋体"/>
                <w:szCs w:val="21"/>
              </w:rPr>
              <w:t>13.高密度木质+金属拉杆+轮子脚钉</w:t>
            </w:r>
          </w:p>
          <w:p>
            <w:pPr>
              <w:widowControl/>
              <w:rPr>
                <w:rFonts w:ascii="宋体" w:hAnsi="宋体"/>
                <w:szCs w:val="21"/>
              </w:rPr>
            </w:pPr>
            <w:r>
              <w:rPr>
                <w:rFonts w:hint="eastAsia" w:ascii="宋体" w:hAnsi="宋体"/>
                <w:szCs w:val="21"/>
              </w:rPr>
              <w:t>提供五年原厂售后服务承诺书并加盖厂商公章。</w:t>
            </w:r>
          </w:p>
        </w:tc>
        <w:tc>
          <w:tcPr>
            <w:tcW w:w="1490" w:type="dxa"/>
            <w:vMerge w:val="restart"/>
            <w:tcMar>
              <w:top w:w="0" w:type="dxa"/>
              <w:left w:w="108" w:type="dxa"/>
              <w:bottom w:w="0" w:type="dxa"/>
              <w:right w:w="108" w:type="dxa"/>
            </w:tcMar>
            <w:vAlign w:val="center"/>
          </w:tcPr>
          <w:p>
            <w:pPr>
              <w:rPr>
                <w:sz w:val="22"/>
              </w:rPr>
            </w:pPr>
            <w:r>
              <w:rPr>
                <w:rFonts w:hint="eastAsia"/>
                <w:sz w:val="22"/>
              </w:rPr>
              <w:t>1、服务质量达到货物制造商公开的服务标准；不低于生产厂家的“三包”服务时限，并承担修理、调换或退货的实际费用。</w:t>
            </w:r>
          </w:p>
          <w:p>
            <w:pPr>
              <w:rPr>
                <w:sz w:val="22"/>
              </w:rPr>
            </w:pPr>
            <w:r>
              <w:rPr>
                <w:rFonts w:hint="eastAsia"/>
                <w:sz w:val="22"/>
              </w:rPr>
              <w:t>2、货物出现质量问题，投标供应商服务响应时间不超过24小时，24小时内到场服务。货物维修应提供相应代用设备。</w:t>
            </w:r>
          </w:p>
          <w:p>
            <w:pPr>
              <w:rPr>
                <w:sz w:val="22"/>
              </w:rPr>
            </w:pPr>
            <w:r>
              <w:rPr>
                <w:rFonts w:hint="eastAsia"/>
                <w:sz w:val="22"/>
              </w:rPr>
              <w:t>3、所有设备必须全新，具有合格证。</w:t>
            </w:r>
          </w:p>
          <w:p>
            <w:pPr>
              <w:rPr>
                <w:sz w:val="22"/>
              </w:rPr>
            </w:pPr>
            <w:r>
              <w:rPr>
                <w:rFonts w:hint="eastAsia"/>
                <w:sz w:val="22"/>
              </w:rPr>
              <w:t>4、演出音响需安装调试后交货。</w:t>
            </w:r>
          </w:p>
          <w:p>
            <w:pPr>
              <w:rPr>
                <w:sz w:val="24"/>
              </w:rPr>
            </w:pPr>
            <w:r>
              <w:rPr>
                <w:rFonts w:hint="eastAsia"/>
                <w:sz w:val="22"/>
              </w:rPr>
              <w:t>5、免费提供同类15寸800W喇叭20个，高音喇叭20个。</w:t>
            </w:r>
          </w:p>
        </w:tc>
        <w:tc>
          <w:tcPr>
            <w:tcW w:w="1584" w:type="dxa"/>
            <w:vMerge w:val="restart"/>
            <w:tcMar>
              <w:top w:w="0" w:type="dxa"/>
              <w:left w:w="108" w:type="dxa"/>
              <w:bottom w:w="0" w:type="dxa"/>
              <w:right w:w="108" w:type="dxa"/>
            </w:tcMar>
            <w:vAlign w:val="center"/>
          </w:tcPr>
          <w:p>
            <w:pPr>
              <w:rPr>
                <w:sz w:val="22"/>
              </w:rPr>
            </w:pPr>
            <w:r>
              <w:rPr>
                <w:rFonts w:hint="eastAsia"/>
                <w:sz w:val="22"/>
              </w:rPr>
              <w:t>1、 交货期：分三批交货，合同签订后30日内具体以签订合同为准。</w:t>
            </w:r>
          </w:p>
          <w:p>
            <w:r>
              <w:rPr>
                <w:rFonts w:hint="eastAsia"/>
                <w:sz w:val="22"/>
              </w:rPr>
              <w:t>2、保修期：不低于两年。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32"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2</w:t>
            </w:r>
          </w:p>
        </w:tc>
        <w:tc>
          <w:tcPr>
            <w:tcW w:w="1248" w:type="dxa"/>
            <w:vAlign w:val="center"/>
          </w:tcPr>
          <w:p>
            <w:pPr>
              <w:widowControl/>
              <w:rPr>
                <w:rFonts w:ascii="宋体" w:hAnsi="宋体"/>
                <w:szCs w:val="21"/>
              </w:rPr>
            </w:pPr>
            <w:r>
              <w:rPr>
                <w:rFonts w:hint="eastAsia" w:ascii="宋体" w:hAnsi="宋体"/>
                <w:szCs w:val="21"/>
              </w:rPr>
              <w:t>演出音响套装</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1、点歌机*1，4TB硬盘，具有云端网络加歌功能,19寸触摸屏,64位架构CPU，智能8核超强CPU，3D点歌+安卓界面。2G Byte 内存。支持1-4T海量歌曲储存4万-9万。支持HDMI高清视频输出，AV视频输出，电影+K歌+安卓三系统合一，配置电视实时直播，支持手机，平板无线点歌，微信二维码点歌。</w:t>
            </w:r>
          </w:p>
          <w:p>
            <w:pPr>
              <w:widowControl/>
              <w:rPr>
                <w:rFonts w:ascii="宋体" w:hAnsi="宋体"/>
                <w:szCs w:val="21"/>
              </w:rPr>
            </w:pPr>
            <w:r>
              <w:rPr>
                <w:rFonts w:hint="eastAsia" w:ascii="宋体" w:hAnsi="宋体"/>
                <w:szCs w:val="21"/>
              </w:rPr>
              <w:t>2、话筒*2套：U段手持无线话筒（每套2只），最大有效距离：≧50m，金属接收机和金属尾管手咪。</w:t>
            </w:r>
          </w:p>
          <w:p>
            <w:pPr>
              <w:widowControl/>
              <w:rPr>
                <w:rFonts w:ascii="宋体" w:hAnsi="宋体"/>
                <w:szCs w:val="21"/>
              </w:rPr>
            </w:pPr>
            <w:r>
              <w:rPr>
                <w:rFonts w:hint="eastAsia" w:ascii="宋体" w:hAnsi="宋体"/>
                <w:szCs w:val="21"/>
              </w:rPr>
              <w:t>3、调音台*1：2路Mic 输入通道 、2路立体声输入通道、2路USB</w:t>
            </w:r>
          </w:p>
          <w:p>
            <w:pPr>
              <w:widowControl/>
              <w:rPr>
                <w:rFonts w:ascii="宋体" w:hAnsi="宋体"/>
                <w:szCs w:val="21"/>
              </w:rPr>
            </w:pPr>
            <w:r>
              <w:rPr>
                <w:rFonts w:hint="eastAsia" w:ascii="宋体" w:hAnsi="宋体"/>
                <w:szCs w:val="21"/>
              </w:rPr>
              <w:t xml:space="preserve">带MP3/USB/SD 音频播放功能、带USB/SD 录音功能、带蓝牙播放功能、带DSP 效果  </w:t>
            </w:r>
          </w:p>
          <w:p>
            <w:pPr>
              <w:widowControl/>
              <w:rPr>
                <w:rFonts w:ascii="宋体" w:hAnsi="宋体"/>
                <w:szCs w:val="21"/>
              </w:rPr>
            </w:pPr>
            <w:r>
              <w:rPr>
                <w:rFonts w:hint="eastAsia" w:ascii="宋体" w:hAnsi="宋体"/>
                <w:szCs w:val="21"/>
              </w:rPr>
              <w:t>4、航空机柜*1：专业订制12+4U机柜1个，防火板材质，采用对角双刹车活动轮  ，加厚五金配件 ，可固定安装19寸点歌机、调音台、功放、电源时序器、话筒接收机等</w:t>
            </w:r>
          </w:p>
          <w:p>
            <w:pPr>
              <w:widowControl/>
              <w:rPr>
                <w:rFonts w:ascii="宋体" w:hAnsi="宋体"/>
                <w:szCs w:val="21"/>
              </w:rPr>
            </w:pPr>
            <w:r>
              <w:rPr>
                <w:rFonts w:hint="eastAsia" w:ascii="宋体" w:hAnsi="宋体"/>
                <w:szCs w:val="21"/>
              </w:rPr>
              <w:t xml:space="preserve">5、室外扩声音箱*2：灵敏度(1W@1m)  100dB  </w:t>
            </w:r>
          </w:p>
          <w:p>
            <w:pPr>
              <w:widowControl/>
              <w:rPr>
                <w:rFonts w:ascii="宋体" w:hAnsi="宋体"/>
                <w:szCs w:val="21"/>
              </w:rPr>
            </w:pPr>
            <w:r>
              <w:rPr>
                <w:rFonts w:hint="eastAsia" w:ascii="宋体" w:hAnsi="宋体"/>
                <w:szCs w:val="21"/>
              </w:rPr>
              <w:t xml:space="preserve">额定阻抗  4Ω  </w:t>
            </w:r>
          </w:p>
          <w:p>
            <w:pPr>
              <w:widowControl/>
              <w:rPr>
                <w:rFonts w:ascii="宋体" w:hAnsi="宋体"/>
                <w:szCs w:val="21"/>
              </w:rPr>
            </w:pPr>
            <w:r>
              <w:rPr>
                <w:rFonts w:hint="eastAsia" w:ascii="宋体" w:hAnsi="宋体"/>
                <w:szCs w:val="21"/>
              </w:rPr>
              <w:t xml:space="preserve">额定功率  800W（连续），3200W（峰值）  </w:t>
            </w:r>
          </w:p>
          <w:p>
            <w:pPr>
              <w:widowControl/>
              <w:rPr>
                <w:rFonts w:ascii="宋体" w:hAnsi="宋体"/>
                <w:szCs w:val="21"/>
              </w:rPr>
            </w:pPr>
            <w:r>
              <w:rPr>
                <w:rFonts w:hint="eastAsia" w:ascii="宋体" w:hAnsi="宋体"/>
                <w:szCs w:val="21"/>
              </w:rPr>
              <w:t xml:space="preserve">低音单元  2x15" 中低音 / 75mm音圈  </w:t>
            </w:r>
          </w:p>
          <w:p>
            <w:pPr>
              <w:widowControl/>
              <w:rPr>
                <w:rFonts w:ascii="宋体" w:hAnsi="宋体"/>
                <w:szCs w:val="21"/>
              </w:rPr>
            </w:pPr>
            <w:r>
              <w:rPr>
                <w:rFonts w:hint="eastAsia" w:ascii="宋体" w:hAnsi="宋体"/>
                <w:szCs w:val="21"/>
              </w:rPr>
              <w:t xml:space="preserve">高音单元  钛 / PK复合膜 / 75mm音圈 / 钕磁    </w:t>
            </w:r>
          </w:p>
          <w:p>
            <w:pPr>
              <w:widowControl/>
              <w:rPr>
                <w:rFonts w:ascii="宋体" w:hAnsi="宋体"/>
                <w:szCs w:val="21"/>
              </w:rPr>
            </w:pPr>
            <w:r>
              <w:rPr>
                <w:rFonts w:hint="eastAsia" w:ascii="宋体" w:hAnsi="宋体"/>
                <w:szCs w:val="21"/>
              </w:rPr>
              <w:t>最大声压级(@1m)  136dB（峰值）</w:t>
            </w:r>
          </w:p>
          <w:p>
            <w:pPr>
              <w:widowControl/>
              <w:rPr>
                <w:rFonts w:ascii="宋体" w:hAnsi="宋体"/>
                <w:szCs w:val="21"/>
              </w:rPr>
            </w:pPr>
            <w:r>
              <w:rPr>
                <w:rFonts w:hint="eastAsia" w:ascii="宋体" w:hAnsi="宋体"/>
                <w:szCs w:val="21"/>
              </w:rPr>
              <w:t xml:space="preserve">6、功放*1：  立体声道模式 8Ω 1KHz（HIA）with 0.5% THD：2x1500W与 立体声道模式4Ω 1KHz（HIA）with 0.5% THD：2x2200W  相互切换的专业功放一台，卡式电源集线盒+系统接线1套                                                </w:t>
            </w:r>
          </w:p>
          <w:p>
            <w:pPr>
              <w:widowControl/>
              <w:rPr>
                <w:rFonts w:ascii="宋体" w:hAnsi="宋体"/>
                <w:szCs w:val="21"/>
              </w:rPr>
            </w:pPr>
            <w:r>
              <w:rPr>
                <w:rFonts w:hint="eastAsia" w:ascii="宋体" w:hAnsi="宋体"/>
                <w:szCs w:val="21"/>
              </w:rPr>
              <w:t>电源时序器*1：输出电流16A，控制电源：8路，顺序启动每路电源和逆向顺序切断，数字显示当前电网电压值。</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35"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3</w:t>
            </w:r>
          </w:p>
        </w:tc>
        <w:tc>
          <w:tcPr>
            <w:tcW w:w="1248" w:type="dxa"/>
            <w:vAlign w:val="center"/>
          </w:tcPr>
          <w:p>
            <w:pPr>
              <w:widowControl/>
              <w:rPr>
                <w:rFonts w:ascii="宋体" w:hAnsi="宋体"/>
                <w:szCs w:val="21"/>
              </w:rPr>
            </w:pPr>
            <w:r>
              <w:rPr>
                <w:rFonts w:hint="eastAsia" w:ascii="宋体" w:hAnsi="宋体"/>
                <w:szCs w:val="21"/>
              </w:rPr>
              <w:t>投影仪</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1.亮度3600流明</w:t>
            </w:r>
          </w:p>
          <w:p>
            <w:pPr>
              <w:widowControl/>
              <w:ind w:firstLine="210" w:firstLineChars="100"/>
              <w:rPr>
                <w:rFonts w:ascii="宋体" w:hAnsi="宋体"/>
                <w:szCs w:val="21"/>
              </w:rPr>
            </w:pPr>
            <w:r>
              <w:rPr>
                <w:rFonts w:hint="eastAsia" w:ascii="宋体" w:hAnsi="宋体"/>
                <w:szCs w:val="21"/>
              </w:rPr>
              <w:t>标准分辨率SVGA (</w:t>
            </w:r>
            <w:r>
              <w:rPr>
                <w:rFonts w:ascii="宋体" w:hAnsi="宋体"/>
                <w:szCs w:val="21"/>
              </w:rPr>
              <w:t>800X600</w:t>
            </w:r>
            <w:r>
              <w:rPr>
                <w:rFonts w:hint="eastAsia" w:ascii="宋体" w:hAnsi="宋体"/>
                <w:szCs w:val="21"/>
              </w:rPr>
              <w:t>)</w:t>
            </w:r>
          </w:p>
          <w:p>
            <w:pPr>
              <w:widowControl/>
              <w:ind w:firstLine="210" w:firstLineChars="100"/>
              <w:rPr>
                <w:rFonts w:ascii="宋体" w:hAnsi="宋体"/>
                <w:szCs w:val="21"/>
              </w:rPr>
            </w:pPr>
            <w:r>
              <w:rPr>
                <w:rFonts w:hint="eastAsia" w:ascii="宋体" w:hAnsi="宋体"/>
                <w:szCs w:val="21"/>
              </w:rPr>
              <w:t>对比度20,000:1</w:t>
            </w:r>
          </w:p>
          <w:p>
            <w:pPr>
              <w:widowControl/>
              <w:rPr>
                <w:rFonts w:ascii="宋体" w:hAnsi="宋体"/>
                <w:szCs w:val="21"/>
              </w:rPr>
            </w:pPr>
            <w:r>
              <w:rPr>
                <w:rFonts w:hint="eastAsia" w:ascii="宋体" w:hAnsi="宋体"/>
                <w:szCs w:val="21"/>
              </w:rPr>
              <w:t>2.光源寿命15,000小时以上，配支架、100寸银幕</w:t>
            </w:r>
          </w:p>
          <w:p>
            <w:pPr>
              <w:widowControl/>
              <w:rPr>
                <w:rFonts w:ascii="宋体" w:hAnsi="宋体"/>
                <w:szCs w:val="21"/>
              </w:rPr>
            </w:pPr>
            <w:r>
              <w:rPr>
                <w:rFonts w:hint="eastAsia" w:ascii="宋体" w:hAnsi="宋体"/>
                <w:szCs w:val="21"/>
              </w:rPr>
              <w:t xml:space="preserve">3.具有国家强制性3C认证（提供证书复印件加盖厂商公章） </w:t>
            </w:r>
          </w:p>
          <w:p>
            <w:pPr>
              <w:widowControl/>
              <w:rPr>
                <w:rFonts w:ascii="宋体" w:hAnsi="宋体"/>
                <w:szCs w:val="21"/>
              </w:rPr>
            </w:pPr>
            <w:r>
              <w:rPr>
                <w:rFonts w:hint="eastAsia" w:ascii="宋体" w:hAnsi="宋体"/>
                <w:szCs w:val="21"/>
              </w:rPr>
              <w:t>4.提供三年原厂售后服务承诺书并加盖厂商公章。</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25"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4</w:t>
            </w:r>
          </w:p>
        </w:tc>
        <w:tc>
          <w:tcPr>
            <w:tcW w:w="1248" w:type="dxa"/>
            <w:vAlign w:val="center"/>
          </w:tcPr>
          <w:p>
            <w:pPr>
              <w:widowControl/>
              <w:rPr>
                <w:rFonts w:ascii="宋体" w:hAnsi="宋体"/>
                <w:szCs w:val="21"/>
              </w:rPr>
            </w:pPr>
            <w:r>
              <w:rPr>
                <w:rFonts w:hint="eastAsia" w:ascii="宋体" w:hAnsi="宋体"/>
                <w:szCs w:val="21"/>
              </w:rPr>
              <w:t>触屏双系统移动音箱</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全电子音量/菜单控制带WIFI，安卓系统及专业点歌系统，带2T内存，内置4万多首歌曲，新歌添加简单化，可网络点歌、看新闻、电源、电视剧，可播放MP4、MP5等主流音视频文件，15.4寸高清3D一键触摸显示屏，八核蕊片。</w:t>
            </w:r>
          </w:p>
          <w:p>
            <w:pPr>
              <w:widowControl/>
              <w:rPr>
                <w:rFonts w:ascii="宋体" w:hAnsi="宋体"/>
                <w:szCs w:val="21"/>
              </w:rPr>
            </w:pPr>
            <w:r>
              <w:rPr>
                <w:rFonts w:hint="eastAsia" w:ascii="宋体" w:hAnsi="宋体"/>
                <w:szCs w:val="21"/>
              </w:rPr>
              <w:t>2.15寸专业低音+6.5寸中音+专业高音</w:t>
            </w:r>
          </w:p>
          <w:p>
            <w:pPr>
              <w:widowControl/>
              <w:rPr>
                <w:rFonts w:ascii="宋体" w:hAnsi="宋体"/>
                <w:szCs w:val="21"/>
              </w:rPr>
            </w:pPr>
            <w:r>
              <w:rPr>
                <w:rFonts w:hint="eastAsia" w:ascii="宋体" w:hAnsi="宋体"/>
                <w:szCs w:val="21"/>
              </w:rPr>
              <w:t>3.双USB，SD接口俱全；带语音提示，蓝牙、收音、录音、话筒优先、消原音，蓝牙无线串联等。</w:t>
            </w:r>
          </w:p>
          <w:p>
            <w:pPr>
              <w:widowControl/>
              <w:rPr>
                <w:rFonts w:ascii="宋体" w:hAnsi="宋体"/>
                <w:szCs w:val="21"/>
              </w:rPr>
            </w:pPr>
            <w:r>
              <w:rPr>
                <w:rFonts w:hint="eastAsia" w:ascii="宋体" w:hAnsi="宋体"/>
                <w:szCs w:val="21"/>
              </w:rPr>
              <w:t>4.峰值功率（POWER）：800W</w:t>
            </w:r>
          </w:p>
          <w:p>
            <w:pPr>
              <w:widowControl/>
              <w:rPr>
                <w:rFonts w:ascii="宋体" w:hAnsi="宋体"/>
                <w:szCs w:val="21"/>
              </w:rPr>
            </w:pPr>
            <w:r>
              <w:rPr>
                <w:rFonts w:hint="eastAsia" w:ascii="宋体" w:hAnsi="宋体"/>
                <w:szCs w:val="21"/>
              </w:rPr>
              <w:t>5.灵敏度（sensitivity）: 90db</w:t>
            </w:r>
          </w:p>
          <w:p>
            <w:pPr>
              <w:widowControl/>
              <w:rPr>
                <w:rFonts w:ascii="宋体" w:hAnsi="宋体"/>
                <w:szCs w:val="21"/>
              </w:rPr>
            </w:pPr>
            <w:r>
              <w:rPr>
                <w:rFonts w:hint="eastAsia" w:ascii="宋体" w:hAnsi="宋体"/>
                <w:szCs w:val="21"/>
              </w:rPr>
              <w:t xml:space="preserve">6.频率响应（frequency）: 20Hz-20KHz </w:t>
            </w:r>
          </w:p>
          <w:p>
            <w:pPr>
              <w:widowControl/>
              <w:rPr>
                <w:rFonts w:ascii="宋体" w:hAnsi="宋体"/>
                <w:szCs w:val="21"/>
              </w:rPr>
            </w:pPr>
            <w:r>
              <w:rPr>
                <w:rFonts w:hint="eastAsia" w:ascii="宋体" w:hAnsi="宋体"/>
                <w:szCs w:val="21"/>
              </w:rPr>
              <w:t>7.阻抗：（impedance）:4- 8Ω</w:t>
            </w:r>
          </w:p>
          <w:p>
            <w:pPr>
              <w:widowControl/>
              <w:rPr>
                <w:rFonts w:ascii="宋体" w:hAnsi="宋体"/>
                <w:szCs w:val="21"/>
              </w:rPr>
            </w:pPr>
            <w:r>
              <w:rPr>
                <w:rFonts w:hint="eastAsia" w:ascii="宋体" w:hAnsi="宋体"/>
                <w:szCs w:val="21"/>
              </w:rPr>
              <w:t>8.充电安全保护功能：PWM宽电压开关电源，恒压充电，长时间充电对电瓶无影响</w:t>
            </w:r>
          </w:p>
          <w:p>
            <w:pPr>
              <w:widowControl/>
              <w:rPr>
                <w:rFonts w:ascii="宋体" w:hAnsi="宋体"/>
                <w:szCs w:val="21"/>
              </w:rPr>
            </w:pPr>
            <w:r>
              <w:rPr>
                <w:rFonts w:hint="eastAsia" w:ascii="宋体" w:hAnsi="宋体"/>
                <w:szCs w:val="21"/>
              </w:rPr>
              <w:t>9.内置28安大容量铅酸电池</w:t>
            </w:r>
          </w:p>
          <w:p>
            <w:pPr>
              <w:widowControl/>
              <w:rPr>
                <w:rFonts w:ascii="宋体" w:hAnsi="宋体"/>
                <w:szCs w:val="21"/>
              </w:rPr>
            </w:pPr>
            <w:r>
              <w:rPr>
                <w:rFonts w:hint="eastAsia" w:ascii="宋体" w:hAnsi="宋体"/>
                <w:szCs w:val="21"/>
              </w:rPr>
              <w:t>10.放电保护功能：机器具有智能软开关机，机器正常播放时，当电瓶电量到达最低（9.6V）时，自动关机保护，保证电瓶放电电流绝对为零。</w:t>
            </w:r>
          </w:p>
          <w:p>
            <w:pPr>
              <w:widowControl/>
              <w:rPr>
                <w:rFonts w:ascii="宋体" w:hAnsi="宋体"/>
                <w:szCs w:val="21"/>
              </w:rPr>
            </w:pPr>
            <w:r>
              <w:rPr>
                <w:rFonts w:hint="eastAsia" w:ascii="宋体" w:hAnsi="宋体"/>
                <w:szCs w:val="21"/>
              </w:rPr>
              <w:t>11.面板带音视频输入，话筒乐器输入，音乐高低音.话筒高低音.有线音量，无线音量，总音量以及混响音量均可独立调节.外接12V电源座子，8字充电座，带2只红绿智能开关.</w:t>
            </w:r>
          </w:p>
          <w:p>
            <w:pPr>
              <w:widowControl/>
              <w:rPr>
                <w:rFonts w:ascii="宋体" w:hAnsi="宋体"/>
                <w:szCs w:val="21"/>
              </w:rPr>
            </w:pPr>
            <w:r>
              <w:rPr>
                <w:rFonts w:hint="eastAsia" w:ascii="宋体" w:hAnsi="宋体"/>
                <w:szCs w:val="21"/>
              </w:rPr>
              <w:t>12.带2只UHF专业话筒</w:t>
            </w:r>
          </w:p>
          <w:p>
            <w:pPr>
              <w:widowControl/>
              <w:rPr>
                <w:rFonts w:ascii="宋体" w:hAnsi="宋体"/>
                <w:szCs w:val="21"/>
              </w:rPr>
            </w:pPr>
            <w:r>
              <w:rPr>
                <w:rFonts w:hint="eastAsia" w:ascii="宋体" w:hAnsi="宋体"/>
                <w:szCs w:val="21"/>
              </w:rPr>
              <w:t>13.木质高密度喷漆箱体+木质拉杆+4只万向轮子</w:t>
            </w:r>
          </w:p>
          <w:p>
            <w:pPr>
              <w:widowControl/>
              <w:rPr>
                <w:rFonts w:ascii="宋体" w:hAnsi="宋体"/>
                <w:szCs w:val="21"/>
              </w:rPr>
            </w:pPr>
            <w:r>
              <w:rPr>
                <w:rFonts w:hint="eastAsia" w:ascii="宋体" w:hAnsi="宋体"/>
                <w:szCs w:val="21"/>
              </w:rPr>
              <w:t>提供五年原厂售后服务承诺书并加盖厂商公章。</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59"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5</w:t>
            </w:r>
          </w:p>
        </w:tc>
        <w:tc>
          <w:tcPr>
            <w:tcW w:w="1248" w:type="dxa"/>
            <w:vAlign w:val="center"/>
          </w:tcPr>
          <w:p>
            <w:pPr>
              <w:widowControl/>
              <w:rPr>
                <w:rFonts w:ascii="宋体" w:hAnsi="宋体"/>
                <w:szCs w:val="21"/>
              </w:rPr>
            </w:pPr>
            <w:r>
              <w:rPr>
                <w:rFonts w:hint="eastAsia" w:ascii="宋体" w:hAnsi="宋体"/>
                <w:szCs w:val="21"/>
              </w:rPr>
              <w:t>传统打击乐器</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1、杨木双面牛皮鼓：10寸2面、16寸2面、1米1面；16寸鼓配鼓架；</w:t>
            </w:r>
          </w:p>
          <w:p>
            <w:pPr>
              <w:widowControl/>
              <w:rPr>
                <w:rFonts w:ascii="宋体" w:hAnsi="宋体"/>
                <w:szCs w:val="21"/>
              </w:rPr>
            </w:pPr>
            <w:r>
              <w:rPr>
                <w:rFonts w:hint="eastAsia" w:ascii="宋体" w:hAnsi="宋体"/>
                <w:szCs w:val="21"/>
              </w:rPr>
              <w:t>2、大锣：直径33㎝1面；</w:t>
            </w:r>
          </w:p>
          <w:p>
            <w:pPr>
              <w:widowControl/>
              <w:rPr>
                <w:rFonts w:ascii="宋体" w:hAnsi="宋体"/>
                <w:szCs w:val="21"/>
              </w:rPr>
            </w:pPr>
            <w:r>
              <w:rPr>
                <w:rFonts w:hint="eastAsia" w:ascii="宋体" w:hAnsi="宋体"/>
                <w:szCs w:val="21"/>
              </w:rPr>
              <w:t>3、小锣：直径15㎝，1副；</w:t>
            </w:r>
          </w:p>
          <w:p>
            <w:pPr>
              <w:widowControl/>
              <w:rPr>
                <w:rFonts w:ascii="宋体" w:hAnsi="宋体"/>
                <w:szCs w:val="21"/>
              </w:rPr>
            </w:pPr>
            <w:r>
              <w:rPr>
                <w:rFonts w:hint="eastAsia" w:ascii="宋体" w:hAnsi="宋体"/>
                <w:szCs w:val="21"/>
              </w:rPr>
              <w:t>4、大拨：直径30㎝，1副；</w:t>
            </w:r>
          </w:p>
          <w:p>
            <w:pPr>
              <w:widowControl/>
              <w:rPr>
                <w:rFonts w:ascii="宋体" w:hAnsi="宋体"/>
                <w:szCs w:val="21"/>
              </w:rPr>
            </w:pPr>
            <w:r>
              <w:rPr>
                <w:rFonts w:hint="eastAsia" w:ascii="宋体" w:hAnsi="宋体"/>
                <w:szCs w:val="21"/>
              </w:rPr>
              <w:t>5、花鼓镲或者又名京镲：直径20㎝，1副。</w:t>
            </w:r>
          </w:p>
          <w:p>
            <w:pPr>
              <w:widowControl/>
              <w:rPr>
                <w:rFonts w:ascii="宋体" w:hAnsi="宋体"/>
                <w:szCs w:val="21"/>
              </w:rPr>
            </w:pPr>
            <w:r>
              <w:rPr>
                <w:rFonts w:hint="eastAsia" w:ascii="宋体" w:hAnsi="宋体"/>
                <w:szCs w:val="21"/>
              </w:rPr>
              <w:t>6、大镲：直径30㎝，1副。</w:t>
            </w:r>
          </w:p>
          <w:p>
            <w:pPr>
              <w:widowControl/>
              <w:rPr>
                <w:rFonts w:ascii="宋体" w:hAnsi="宋体"/>
                <w:szCs w:val="21"/>
              </w:rPr>
            </w:pPr>
            <w:r>
              <w:rPr>
                <w:rFonts w:hint="eastAsia" w:ascii="宋体" w:hAnsi="宋体"/>
                <w:szCs w:val="21"/>
              </w:rPr>
              <w:t>7、12cm抛天锣1面 锣拨镲为优质响铜材质</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42"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6</w:t>
            </w:r>
          </w:p>
        </w:tc>
        <w:tc>
          <w:tcPr>
            <w:tcW w:w="1248" w:type="dxa"/>
            <w:vAlign w:val="center"/>
          </w:tcPr>
          <w:p>
            <w:pPr>
              <w:widowControl/>
              <w:rPr>
                <w:rFonts w:ascii="宋体" w:hAnsi="宋体"/>
                <w:szCs w:val="21"/>
              </w:rPr>
            </w:pPr>
            <w:r>
              <w:rPr>
                <w:rFonts w:hint="eastAsia" w:ascii="宋体" w:hAnsi="宋体"/>
                <w:szCs w:val="21"/>
              </w:rPr>
              <w:t>电子琴</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1、61键标准力度感应键盘；</w:t>
            </w:r>
          </w:p>
          <w:p>
            <w:pPr>
              <w:widowControl/>
              <w:rPr>
                <w:rFonts w:ascii="宋体" w:hAnsi="宋体"/>
                <w:szCs w:val="21"/>
              </w:rPr>
            </w:pPr>
            <w:r>
              <w:rPr>
                <w:rFonts w:hint="eastAsia" w:ascii="宋体" w:hAnsi="宋体"/>
                <w:szCs w:val="21"/>
              </w:rPr>
              <w:t>2、音乐数据库功能，中文面板；</w:t>
            </w:r>
          </w:p>
          <w:p>
            <w:pPr>
              <w:widowControl/>
              <w:rPr>
                <w:rFonts w:ascii="宋体" w:hAnsi="宋体"/>
                <w:szCs w:val="21"/>
              </w:rPr>
            </w:pPr>
            <w:r>
              <w:rPr>
                <w:rFonts w:hint="eastAsia" w:ascii="宋体" w:hAnsi="宋体"/>
                <w:szCs w:val="21"/>
              </w:rPr>
              <w:t>3、USB AUXIN接口LCD液晶屏幕；</w:t>
            </w:r>
          </w:p>
          <w:p>
            <w:pPr>
              <w:widowControl/>
              <w:rPr>
                <w:rFonts w:ascii="宋体" w:hAnsi="宋体"/>
                <w:szCs w:val="21"/>
              </w:rPr>
            </w:pPr>
            <w:r>
              <w:rPr>
                <w:rFonts w:hint="eastAsia" w:ascii="宋体" w:hAnsi="宋体"/>
                <w:szCs w:val="21"/>
              </w:rPr>
              <w:t>4、29种以上民族音色，2组以上中国打击乐器；</w:t>
            </w:r>
          </w:p>
          <w:p>
            <w:pPr>
              <w:widowControl/>
              <w:numPr>
                <w:ilvl w:val="0"/>
                <w:numId w:val="4"/>
              </w:numPr>
              <w:rPr>
                <w:rFonts w:ascii="宋体" w:hAnsi="宋体"/>
                <w:szCs w:val="21"/>
              </w:rPr>
            </w:pPr>
            <w:r>
              <w:rPr>
                <w:rFonts w:hint="eastAsia" w:ascii="宋体" w:hAnsi="宋体"/>
                <w:szCs w:val="21"/>
              </w:rPr>
              <w:t>官方配置+</w:t>
            </w:r>
            <w:r>
              <w:rPr>
                <w:rFonts w:ascii="宋体" w:hAnsi="宋体"/>
                <w:szCs w:val="21"/>
              </w:rPr>
              <w:t>×</w:t>
            </w:r>
            <w:r>
              <w:rPr>
                <w:rFonts w:hint="eastAsia" w:ascii="宋体" w:hAnsi="宋体"/>
                <w:szCs w:val="21"/>
              </w:rPr>
              <w:t>双管琴架，琴包；</w:t>
            </w:r>
          </w:p>
          <w:p>
            <w:pPr>
              <w:widowControl/>
              <w:numPr>
                <w:ilvl w:val="0"/>
                <w:numId w:val="4"/>
              </w:numPr>
              <w:rPr>
                <w:rFonts w:ascii="宋体" w:hAnsi="宋体"/>
                <w:szCs w:val="21"/>
              </w:rPr>
            </w:pPr>
            <w:r>
              <w:rPr>
                <w:rFonts w:hint="eastAsia" w:ascii="宋体" w:hAnsi="宋体"/>
                <w:szCs w:val="21"/>
              </w:rPr>
              <w:t>双6W音响；</w:t>
            </w:r>
          </w:p>
          <w:p>
            <w:pPr>
              <w:widowControl/>
              <w:numPr>
                <w:ilvl w:val="0"/>
                <w:numId w:val="4"/>
              </w:numPr>
              <w:rPr>
                <w:rFonts w:ascii="宋体" w:hAnsi="宋体"/>
                <w:szCs w:val="21"/>
              </w:rPr>
            </w:pPr>
            <w:r>
              <w:rPr>
                <w:rFonts w:hint="eastAsia" w:ascii="宋体" w:hAnsi="宋体"/>
                <w:szCs w:val="21"/>
              </w:rPr>
              <w:t>758种高品质音色，220种伴奏；</w:t>
            </w:r>
          </w:p>
          <w:p>
            <w:pPr>
              <w:widowControl/>
              <w:rPr>
                <w:rFonts w:ascii="宋体" w:hAnsi="宋体"/>
                <w:szCs w:val="21"/>
              </w:rPr>
            </w:pPr>
            <w:r>
              <w:rPr>
                <w:rFonts w:hint="eastAsia" w:ascii="宋体" w:hAnsi="宋体"/>
                <w:szCs w:val="21"/>
              </w:rPr>
              <w:t>8、多指和弦。</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59"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7</w:t>
            </w:r>
          </w:p>
        </w:tc>
        <w:tc>
          <w:tcPr>
            <w:tcW w:w="1248" w:type="dxa"/>
            <w:vAlign w:val="center"/>
          </w:tcPr>
          <w:p>
            <w:pPr>
              <w:widowControl/>
              <w:rPr>
                <w:rFonts w:ascii="宋体" w:hAnsi="宋体"/>
                <w:szCs w:val="21"/>
              </w:rPr>
            </w:pPr>
            <w:r>
              <w:rPr>
                <w:rFonts w:hint="eastAsia" w:ascii="宋体" w:hAnsi="宋体"/>
                <w:szCs w:val="21"/>
              </w:rPr>
              <w:t>军鼓</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w:t>
            </w:r>
            <w:r>
              <w:rPr>
                <w:rFonts w:ascii="宋体" w:hAnsi="宋体"/>
                <w:szCs w:val="21"/>
              </w:rPr>
              <w:t>规格</w:t>
            </w:r>
            <w:r>
              <w:rPr>
                <w:rFonts w:hint="eastAsia" w:ascii="宋体" w:hAnsi="宋体"/>
                <w:szCs w:val="21"/>
              </w:rPr>
              <w:t>：小军鼓</w:t>
            </w:r>
            <w:r>
              <w:rPr>
                <w:rFonts w:ascii="宋体" w:hAnsi="宋体"/>
                <w:szCs w:val="21"/>
              </w:rPr>
              <w:t>鼓皮</w:t>
            </w:r>
            <w:r>
              <w:rPr>
                <w:rFonts w:hint="eastAsia" w:ascii="宋体" w:hAnsi="宋体"/>
                <w:szCs w:val="21"/>
              </w:rPr>
              <w:t>≥10</w:t>
            </w:r>
            <w:r>
              <w:rPr>
                <w:rFonts w:ascii="宋体" w:hAnsi="宋体"/>
                <w:szCs w:val="21"/>
              </w:rPr>
              <w:t>英寸，高度</w:t>
            </w:r>
            <w:r>
              <w:rPr>
                <w:rFonts w:hint="eastAsia" w:ascii="宋体" w:hAnsi="宋体"/>
                <w:szCs w:val="21"/>
              </w:rPr>
              <w:t>≥5</w:t>
            </w:r>
            <w:r>
              <w:rPr>
                <w:rFonts w:ascii="宋体" w:hAnsi="宋体"/>
                <w:szCs w:val="21"/>
              </w:rPr>
              <w:t>英寸</w:t>
            </w:r>
            <w:r>
              <w:rPr>
                <w:rFonts w:hint="eastAsia" w:ascii="宋体" w:hAnsi="宋体"/>
                <w:szCs w:val="21"/>
              </w:rPr>
              <w:t>；大军鼓</w:t>
            </w:r>
            <w:r>
              <w:rPr>
                <w:rFonts w:ascii="宋体" w:hAnsi="宋体"/>
                <w:szCs w:val="21"/>
              </w:rPr>
              <w:t>鼓皮</w:t>
            </w:r>
            <w:r>
              <w:rPr>
                <w:rFonts w:hint="eastAsia" w:ascii="宋体" w:hAnsi="宋体"/>
                <w:szCs w:val="21"/>
              </w:rPr>
              <w:t>≥</w:t>
            </w:r>
            <w:r>
              <w:rPr>
                <w:rFonts w:ascii="宋体" w:hAnsi="宋体"/>
                <w:szCs w:val="21"/>
              </w:rPr>
              <w:t>2</w:t>
            </w:r>
            <w:r>
              <w:rPr>
                <w:rFonts w:hint="eastAsia" w:ascii="宋体" w:hAnsi="宋体"/>
                <w:szCs w:val="21"/>
              </w:rPr>
              <w:t>0</w:t>
            </w:r>
            <w:r>
              <w:rPr>
                <w:rFonts w:ascii="宋体" w:hAnsi="宋体"/>
                <w:szCs w:val="21"/>
              </w:rPr>
              <w:t>英寸，高度</w:t>
            </w:r>
            <w:r>
              <w:rPr>
                <w:rFonts w:hint="eastAsia" w:ascii="宋体" w:hAnsi="宋体"/>
                <w:szCs w:val="21"/>
              </w:rPr>
              <w:t>≥</w:t>
            </w:r>
            <w:r>
              <w:rPr>
                <w:rFonts w:ascii="宋体" w:hAnsi="宋体"/>
                <w:szCs w:val="21"/>
              </w:rPr>
              <w:t>10英寸</w:t>
            </w:r>
            <w:r>
              <w:rPr>
                <w:rFonts w:hint="eastAsia" w:ascii="宋体" w:hAnsi="宋体"/>
                <w:szCs w:val="21"/>
              </w:rPr>
              <w:t>；</w:t>
            </w:r>
          </w:p>
          <w:p>
            <w:pPr>
              <w:widowControl/>
              <w:rPr>
                <w:rFonts w:ascii="宋体" w:hAnsi="宋体"/>
                <w:szCs w:val="21"/>
              </w:rPr>
            </w:pPr>
            <w:r>
              <w:rPr>
                <w:rFonts w:hint="eastAsia" w:ascii="宋体" w:hAnsi="宋体"/>
                <w:szCs w:val="21"/>
              </w:rPr>
              <w:t>2、压圈：不锈钢材质；</w:t>
            </w:r>
          </w:p>
          <w:p>
            <w:pPr>
              <w:widowControl/>
              <w:rPr>
                <w:rFonts w:ascii="宋体" w:hAnsi="宋体"/>
                <w:szCs w:val="21"/>
              </w:rPr>
            </w:pPr>
            <w:r>
              <w:rPr>
                <w:rFonts w:hint="eastAsia" w:ascii="宋体" w:hAnsi="宋体"/>
                <w:szCs w:val="21"/>
              </w:rPr>
              <w:t>3、附</w:t>
            </w:r>
            <w:r>
              <w:rPr>
                <w:rFonts w:ascii="宋体" w:hAnsi="宋体"/>
                <w:szCs w:val="21"/>
              </w:rPr>
              <w:t>送背带</w:t>
            </w:r>
            <w:r>
              <w:rPr>
                <w:rFonts w:hint="eastAsia" w:ascii="宋体" w:hAnsi="宋体"/>
                <w:szCs w:val="21"/>
              </w:rPr>
              <w:t>、</w:t>
            </w:r>
            <w:r>
              <w:rPr>
                <w:rFonts w:ascii="宋体" w:hAnsi="宋体"/>
                <w:szCs w:val="21"/>
              </w:rPr>
              <w:t>鼓槌</w:t>
            </w:r>
            <w:r>
              <w:rPr>
                <w:rFonts w:hint="eastAsia" w:ascii="宋体" w:hAnsi="宋体"/>
                <w:szCs w:val="21"/>
              </w:rPr>
              <w:t>；</w:t>
            </w:r>
          </w:p>
          <w:p>
            <w:pPr>
              <w:widowControl/>
              <w:rPr>
                <w:rFonts w:ascii="宋体" w:hAnsi="宋体"/>
                <w:szCs w:val="21"/>
              </w:rPr>
            </w:pPr>
            <w:r>
              <w:rPr>
                <w:rFonts w:hint="eastAsia" w:ascii="宋体" w:hAnsi="宋体"/>
                <w:szCs w:val="21"/>
              </w:rPr>
              <w:t>4、每套鼓小军鼓20个配鼓包，大军鼓2个。</w:t>
            </w:r>
          </w:p>
          <w:p>
            <w:pPr>
              <w:widowControl/>
              <w:rPr>
                <w:rFonts w:ascii="宋体" w:hAnsi="宋体"/>
                <w:szCs w:val="21"/>
              </w:rPr>
            </w:pPr>
            <w:r>
              <w:rPr>
                <w:rFonts w:hint="eastAsia" w:ascii="宋体" w:hAnsi="宋体"/>
                <w:szCs w:val="21"/>
              </w:rPr>
              <w:t>5、每套配</w:t>
            </w:r>
            <w:r>
              <w:rPr>
                <w:rFonts w:hint="eastAsia" w:ascii="宋体" w:hAnsi="宋体" w:cs="宋体"/>
                <w:kern w:val="0"/>
                <w:sz w:val="20"/>
                <w:szCs w:val="20"/>
              </w:rPr>
              <w:t>金色全不锈钢指挥军杈一个。</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18"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9</w:t>
            </w:r>
          </w:p>
        </w:tc>
        <w:tc>
          <w:tcPr>
            <w:tcW w:w="1248" w:type="dxa"/>
            <w:vAlign w:val="center"/>
          </w:tcPr>
          <w:p>
            <w:pPr>
              <w:widowControl/>
              <w:rPr>
                <w:rFonts w:ascii="宋体" w:hAnsi="宋体"/>
                <w:szCs w:val="21"/>
              </w:rPr>
            </w:pPr>
            <w:r>
              <w:rPr>
                <w:rFonts w:hint="eastAsia" w:ascii="宋体" w:hAnsi="宋体"/>
                <w:szCs w:val="21"/>
              </w:rPr>
              <w:t>二 胡</w:t>
            </w:r>
          </w:p>
        </w:tc>
        <w:tc>
          <w:tcPr>
            <w:tcW w:w="4304" w:type="dxa"/>
            <w:tcMar>
              <w:top w:w="0" w:type="dxa"/>
              <w:left w:w="108" w:type="dxa"/>
              <w:bottom w:w="0" w:type="dxa"/>
              <w:right w:w="108" w:type="dxa"/>
            </w:tcMar>
            <w:vAlign w:val="center"/>
          </w:tcPr>
          <w:p>
            <w:pPr>
              <w:widowControl/>
              <w:rPr>
                <w:rFonts w:ascii="宋体" w:hAnsi="宋体"/>
                <w:szCs w:val="21"/>
              </w:rPr>
            </w:pPr>
            <w:r>
              <w:rPr>
                <w:rFonts w:hint="eastAsia" w:ascii="宋体" w:hAnsi="宋体"/>
                <w:szCs w:val="21"/>
              </w:rPr>
              <w:t>1、黑檀木，全木琴轴；</w:t>
            </w:r>
          </w:p>
          <w:p>
            <w:pPr>
              <w:widowControl/>
              <w:rPr>
                <w:rFonts w:ascii="宋体" w:hAnsi="宋体"/>
                <w:szCs w:val="21"/>
              </w:rPr>
            </w:pPr>
            <w:r>
              <w:rPr>
                <w:rFonts w:hint="eastAsia" w:ascii="宋体" w:hAnsi="宋体"/>
                <w:szCs w:val="21"/>
              </w:rPr>
              <w:t>2、灯笼格花窗；</w:t>
            </w:r>
          </w:p>
          <w:p>
            <w:pPr>
              <w:widowControl/>
              <w:rPr>
                <w:rFonts w:ascii="宋体" w:hAnsi="宋体"/>
                <w:szCs w:val="21"/>
              </w:rPr>
            </w:pPr>
            <w:r>
              <w:rPr>
                <w:rFonts w:hint="eastAsia" w:ascii="宋体" w:hAnsi="宋体"/>
                <w:szCs w:val="21"/>
              </w:rPr>
              <w:t>3、实木托板，优质一级蟒皮；天然白马尾</w:t>
            </w:r>
          </w:p>
          <w:p>
            <w:pPr>
              <w:widowControl/>
              <w:rPr>
                <w:rFonts w:ascii="宋体" w:hAnsi="宋体"/>
                <w:szCs w:val="21"/>
              </w:rPr>
            </w:pPr>
            <w:r>
              <w:rPr>
                <w:rFonts w:hint="eastAsia" w:ascii="宋体" w:hAnsi="宋体"/>
                <w:szCs w:val="21"/>
              </w:rPr>
              <w:t>4、随琴配备二胡硬盒、弓、松香、色木码、弦、标准定音器等。</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4" w:hRule="atLeast"/>
          <w:jc w:val="center"/>
        </w:trPr>
        <w:tc>
          <w:tcPr>
            <w:tcW w:w="734" w:type="dxa"/>
            <w:vAlign w:val="center"/>
          </w:tcPr>
          <w:p>
            <w:pPr>
              <w:jc w:val="center"/>
              <w:rPr>
                <w:rFonts w:ascii="仿宋_GB2312" w:eastAsia="仿宋_GB2312"/>
                <w:sz w:val="24"/>
              </w:rPr>
            </w:pPr>
            <w:r>
              <w:rPr>
                <w:rFonts w:hint="eastAsia" w:ascii="仿宋_GB2312" w:eastAsia="仿宋_GB2312"/>
                <w:sz w:val="24"/>
              </w:rPr>
              <w:t>10</w:t>
            </w:r>
          </w:p>
        </w:tc>
        <w:tc>
          <w:tcPr>
            <w:tcW w:w="1248" w:type="dxa"/>
            <w:vAlign w:val="center"/>
          </w:tcPr>
          <w:p>
            <w:pPr>
              <w:widowControl/>
              <w:rPr>
                <w:rFonts w:ascii="宋体" w:hAnsi="宋体"/>
                <w:szCs w:val="21"/>
              </w:rPr>
            </w:pPr>
            <w:r>
              <w:rPr>
                <w:rFonts w:hint="eastAsia" w:ascii="宋体" w:hAnsi="宋体"/>
                <w:szCs w:val="21"/>
              </w:rPr>
              <w:t>笛 子</w:t>
            </w:r>
          </w:p>
        </w:tc>
        <w:tc>
          <w:tcPr>
            <w:tcW w:w="4304" w:type="dxa"/>
            <w:tcMar>
              <w:top w:w="0" w:type="dxa"/>
              <w:left w:w="108" w:type="dxa"/>
              <w:bottom w:w="0" w:type="dxa"/>
              <w:right w:w="108" w:type="dxa"/>
            </w:tcMar>
            <w:vAlign w:val="center"/>
          </w:tcPr>
          <w:p>
            <w:pPr>
              <w:widowControl/>
              <w:rPr>
                <w:rFonts w:ascii="宋体" w:hAnsi="宋体" w:cs="宋体"/>
                <w:kern w:val="0"/>
                <w:szCs w:val="21"/>
              </w:rPr>
            </w:pPr>
            <w:r>
              <w:rPr>
                <w:rFonts w:hint="eastAsia" w:ascii="宋体" w:hAnsi="宋体" w:cs="宋体"/>
                <w:kern w:val="0"/>
                <w:szCs w:val="21"/>
              </w:rPr>
              <w:t>1.单插白铜钢管</w:t>
            </w:r>
          </w:p>
          <w:p>
            <w:pPr>
              <w:widowControl/>
              <w:rPr>
                <w:rFonts w:ascii="宋体" w:hAnsi="宋体" w:cs="宋体"/>
                <w:kern w:val="0"/>
                <w:szCs w:val="21"/>
              </w:rPr>
            </w:pPr>
            <w:r>
              <w:rPr>
                <w:rFonts w:hint="eastAsia" w:ascii="宋体" w:hAnsi="宋体" w:cs="宋体"/>
                <w:kern w:val="0"/>
                <w:szCs w:val="21"/>
              </w:rPr>
              <w:t>2.4年以上苦竹</w:t>
            </w:r>
          </w:p>
          <w:p>
            <w:pPr>
              <w:widowControl/>
              <w:rPr>
                <w:rFonts w:ascii="宋体" w:hAnsi="宋体"/>
                <w:szCs w:val="21"/>
              </w:rPr>
            </w:pPr>
            <w:r>
              <w:rPr>
                <w:rFonts w:hint="eastAsia" w:ascii="宋体" w:hAnsi="宋体" w:cs="宋体"/>
                <w:kern w:val="0"/>
                <w:szCs w:val="21"/>
              </w:rPr>
              <w:t>3.七支装、配铝框笛箱、笛膜</w:t>
            </w:r>
          </w:p>
        </w:tc>
        <w:tc>
          <w:tcPr>
            <w:tcW w:w="1490" w:type="dxa"/>
            <w:vMerge w:val="continue"/>
            <w:tcMar>
              <w:top w:w="0" w:type="dxa"/>
              <w:left w:w="108" w:type="dxa"/>
              <w:bottom w:w="0" w:type="dxa"/>
              <w:right w:w="108" w:type="dxa"/>
            </w:tcMar>
            <w:vAlign w:val="center"/>
          </w:tcPr>
          <w:p>
            <w:pPr>
              <w:rPr>
                <w:rFonts w:ascii="仿宋_GB2312" w:eastAsia="仿宋_GB2312"/>
                <w:sz w:val="24"/>
              </w:rPr>
            </w:pPr>
          </w:p>
        </w:tc>
        <w:tc>
          <w:tcPr>
            <w:tcW w:w="1584" w:type="dxa"/>
            <w:vMerge w:val="continue"/>
            <w:tcMar>
              <w:top w:w="0" w:type="dxa"/>
              <w:left w:w="108" w:type="dxa"/>
              <w:bottom w:w="0" w:type="dxa"/>
              <w:right w:w="108" w:type="dxa"/>
            </w:tcMar>
            <w:vAlign w:val="center"/>
          </w:tcPr>
          <w:p>
            <w:pPr>
              <w:rPr>
                <w:rFonts w:ascii="仿宋_GB2312" w:eastAsia="仿宋_GB2312"/>
                <w:sz w:val="24"/>
              </w:rPr>
            </w:pPr>
          </w:p>
        </w:tc>
      </w:tr>
    </w:tbl>
    <w:p>
      <w:pPr>
        <w:widowControl/>
        <w:spacing w:line="460" w:lineRule="exact"/>
        <w:ind w:left="-141" w:leftChars="-67"/>
        <w:jc w:val="left"/>
        <w:rPr>
          <w:rFonts w:ascii="宋体" w:hAnsi="宋体" w:cs="宋体"/>
          <w:b/>
          <w:kern w:val="0"/>
          <w:szCs w:val="21"/>
        </w:rPr>
      </w:pPr>
    </w:p>
    <w:p>
      <w:pPr>
        <w:widowControl/>
        <w:spacing w:line="460" w:lineRule="exact"/>
        <w:ind w:left="-141" w:leftChars="-67"/>
        <w:jc w:val="left"/>
        <w:rPr>
          <w:rFonts w:ascii="宋体" w:hAnsi="宋体" w:cs="宋体"/>
          <w:b/>
          <w:kern w:val="0"/>
          <w:szCs w:val="21"/>
        </w:rPr>
      </w:pPr>
      <w:r>
        <w:rPr>
          <w:rFonts w:hint="eastAsia" w:ascii="宋体" w:hAnsi="宋体" w:cs="宋体"/>
          <w:b/>
          <w:kern w:val="0"/>
          <w:szCs w:val="21"/>
        </w:rPr>
        <w:t xml:space="preserve">备注：1、以上所有包含运费/安装/调试/培训等全部设备内容。                   </w:t>
      </w:r>
    </w:p>
    <w:p>
      <w:pPr>
        <w:widowControl/>
        <w:spacing w:line="460" w:lineRule="exact"/>
        <w:ind w:left="-141" w:leftChars="-67"/>
        <w:jc w:val="left"/>
        <w:rPr>
          <w:rFonts w:ascii="宋体" w:hAnsi="宋体" w:cs="宋体"/>
          <w:b/>
          <w:kern w:val="0"/>
          <w:szCs w:val="21"/>
        </w:rPr>
      </w:pPr>
      <w:r>
        <w:rPr>
          <w:rFonts w:hint="eastAsia" w:ascii="宋体" w:hAnsi="宋体" w:cs="宋体"/>
          <w:b/>
          <w:kern w:val="0"/>
          <w:szCs w:val="21"/>
        </w:rPr>
        <w:t xml:space="preserve">      2、所有报价均含专业增值税发票。                                            </w:t>
      </w:r>
    </w:p>
    <w:p>
      <w:pPr>
        <w:widowControl/>
        <w:spacing w:line="460" w:lineRule="exact"/>
        <w:ind w:left="-141" w:leftChars="-67"/>
        <w:jc w:val="left"/>
        <w:rPr>
          <w:rFonts w:ascii="宋体" w:hAnsi="宋体" w:cs="宋体"/>
          <w:b/>
          <w:kern w:val="0"/>
          <w:szCs w:val="21"/>
        </w:rPr>
      </w:pPr>
      <w:r>
        <w:rPr>
          <w:rFonts w:hint="eastAsia" w:ascii="宋体" w:hAnsi="宋体" w:cs="宋体"/>
          <w:b/>
          <w:kern w:val="0"/>
          <w:szCs w:val="21"/>
        </w:rPr>
        <w:t xml:space="preserve">      3、所有设备专业工程师现场培训,指导设备日常保养、维护。                                </w:t>
      </w:r>
    </w:p>
    <w:p>
      <w:pPr>
        <w:widowControl/>
        <w:spacing w:line="460" w:lineRule="exact"/>
        <w:ind w:left="-141" w:leftChars="-67"/>
        <w:jc w:val="left"/>
        <w:rPr>
          <w:rFonts w:ascii="宋体" w:hAnsi="宋体" w:cs="宋体"/>
          <w:b/>
          <w:kern w:val="0"/>
          <w:szCs w:val="21"/>
        </w:rPr>
      </w:pPr>
      <w:r>
        <w:rPr>
          <w:rFonts w:hint="eastAsia" w:ascii="宋体" w:hAnsi="宋体" w:cs="宋体"/>
          <w:b/>
          <w:kern w:val="0"/>
          <w:szCs w:val="21"/>
        </w:rPr>
        <w:t xml:space="preserve">      4、所有设备免费包修至少二年，并终生维护。</w:t>
      </w:r>
    </w:p>
    <w:p>
      <w:pPr>
        <w:widowControl/>
        <w:spacing w:line="460" w:lineRule="exact"/>
        <w:ind w:left="-141" w:leftChars="-67" w:firstLine="632" w:firstLineChars="300"/>
        <w:jc w:val="left"/>
        <w:rPr>
          <w:rFonts w:ascii="宋体" w:hAnsi="宋体" w:cs="宋体"/>
          <w:b/>
          <w:kern w:val="0"/>
          <w:szCs w:val="21"/>
        </w:rPr>
      </w:pPr>
      <w:r>
        <w:rPr>
          <w:rFonts w:hint="eastAsia" w:ascii="宋体" w:hAnsi="宋体" w:cs="宋体"/>
          <w:b/>
          <w:kern w:val="0"/>
          <w:szCs w:val="21"/>
        </w:rPr>
        <w:t>5、所有设备必须为正品，经招标人核实如发现所提供产品与所投产品出现偏离，将根据相关法律法规追究其法律责任。</w:t>
      </w:r>
    </w:p>
    <w:p>
      <w:pPr>
        <w:adjustRightInd w:val="0"/>
        <w:snapToGrid w:val="0"/>
        <w:spacing w:line="460" w:lineRule="exact"/>
        <w:rPr>
          <w:rFonts w:ascii="宋体" w:hAnsi="宋体"/>
          <w:b/>
          <w:szCs w:val="21"/>
        </w:rPr>
      </w:pPr>
      <w:r>
        <w:rPr>
          <w:rFonts w:hint="eastAsia" w:ascii="宋体" w:hAnsi="宋体"/>
          <w:b/>
          <w:szCs w:val="21"/>
        </w:rPr>
        <w:t>四、附件及零配件（包括专用工具）、备品备件的要求</w:t>
      </w:r>
    </w:p>
    <w:p>
      <w:pPr>
        <w:adjustRightInd w:val="0"/>
        <w:snapToGrid w:val="0"/>
        <w:spacing w:line="460" w:lineRule="exact"/>
        <w:ind w:firstLine="420" w:firstLineChars="200"/>
        <w:rPr>
          <w:rFonts w:ascii="宋体" w:hAnsi="宋体"/>
          <w:szCs w:val="21"/>
        </w:rPr>
      </w:pPr>
      <w:r>
        <w:rPr>
          <w:rFonts w:hint="eastAsia" w:ascii="宋体" w:hAnsi="宋体"/>
          <w:szCs w:val="21"/>
        </w:rPr>
        <w:t>投标商所投的设备，必须设有备件库，以便对有故障的设备能及时维修或更换（更换时的价格不能高于招标单项价格）。</w:t>
      </w:r>
    </w:p>
    <w:p>
      <w:pPr>
        <w:adjustRightInd w:val="0"/>
        <w:snapToGrid w:val="0"/>
        <w:spacing w:line="460" w:lineRule="exact"/>
        <w:rPr>
          <w:rFonts w:ascii="宋体" w:hAnsi="宋体"/>
          <w:b/>
          <w:szCs w:val="21"/>
        </w:rPr>
      </w:pPr>
      <w:r>
        <w:rPr>
          <w:rFonts w:hint="eastAsia" w:ascii="宋体" w:hAnsi="宋体"/>
          <w:b/>
          <w:szCs w:val="21"/>
        </w:rPr>
        <w:t>五、安装调试</w:t>
      </w:r>
    </w:p>
    <w:p>
      <w:pPr>
        <w:spacing w:line="460" w:lineRule="exact"/>
        <w:ind w:firstLine="315" w:firstLineChars="150"/>
        <w:rPr>
          <w:rFonts w:ascii="宋体" w:hAnsi="宋体"/>
          <w:szCs w:val="21"/>
        </w:rPr>
      </w:pPr>
      <w:r>
        <w:rPr>
          <w:rFonts w:hint="eastAsia" w:ascii="宋体" w:hAnsi="宋体"/>
          <w:szCs w:val="21"/>
        </w:rPr>
        <w:t>5.1合同中提供的所有货物全部应由乙方完全免费安装、调试，一切在安装中的货物损坏，责任均在乙方。项目最终验收合格后，乙方正式交付甲方投入使用。</w:t>
      </w:r>
    </w:p>
    <w:p>
      <w:pPr>
        <w:spacing w:line="460" w:lineRule="exact"/>
        <w:ind w:firstLine="315" w:firstLineChars="150"/>
        <w:rPr>
          <w:rFonts w:ascii="宋体" w:hAnsi="宋体"/>
          <w:szCs w:val="21"/>
        </w:rPr>
      </w:pPr>
      <w:r>
        <w:rPr>
          <w:rFonts w:hint="eastAsia" w:ascii="宋体" w:hAnsi="宋体"/>
          <w:szCs w:val="21"/>
        </w:rPr>
        <w:t>5.2</w:t>
      </w:r>
      <w:r>
        <w:rPr>
          <w:rFonts w:ascii="宋体" w:hAnsi="宋体"/>
          <w:szCs w:val="21"/>
        </w:rPr>
        <w:t>仪器制造厂授权技术人员免费安装调试，技术指标合格后，出具验收报告。</w:t>
      </w:r>
    </w:p>
    <w:p>
      <w:pPr>
        <w:adjustRightInd w:val="0"/>
        <w:snapToGrid w:val="0"/>
        <w:spacing w:line="460" w:lineRule="exact"/>
        <w:rPr>
          <w:rFonts w:ascii="宋体" w:hAnsi="宋体"/>
          <w:b/>
          <w:szCs w:val="21"/>
        </w:rPr>
      </w:pPr>
      <w:r>
        <w:rPr>
          <w:rFonts w:hint="eastAsia" w:ascii="宋体" w:hAnsi="宋体"/>
          <w:b/>
          <w:szCs w:val="21"/>
        </w:rPr>
        <w:t>六、售后服务的要求</w:t>
      </w:r>
    </w:p>
    <w:p>
      <w:pPr>
        <w:spacing w:line="460" w:lineRule="exact"/>
        <w:ind w:firstLine="420" w:firstLineChars="200"/>
        <w:rPr>
          <w:rFonts w:ascii="宋体" w:hAnsi="宋体"/>
          <w:szCs w:val="21"/>
        </w:rPr>
      </w:pPr>
      <w:r>
        <w:rPr>
          <w:rFonts w:hint="eastAsia" w:ascii="宋体" w:hAnsi="宋体"/>
          <w:szCs w:val="21"/>
        </w:rPr>
        <w:t>6.1在设备的质保期内，如有质量问题或质量缺陷，乙方应免费予以更换，保证用户设备及时正常运行。</w:t>
      </w:r>
    </w:p>
    <w:p>
      <w:pPr>
        <w:spacing w:line="460" w:lineRule="exact"/>
        <w:ind w:firstLine="420" w:firstLineChars="200"/>
        <w:rPr>
          <w:rFonts w:ascii="宋体" w:hAnsi="宋体"/>
          <w:szCs w:val="21"/>
        </w:rPr>
      </w:pPr>
      <w:r>
        <w:rPr>
          <w:rFonts w:hint="eastAsia" w:ascii="宋体" w:hAnsi="宋体"/>
          <w:szCs w:val="21"/>
        </w:rPr>
        <w:t>6.2乙方应保证按投标文件的承诺提供良好的售后服务。</w:t>
      </w:r>
    </w:p>
    <w:p>
      <w:pPr>
        <w:spacing w:line="460" w:lineRule="exact"/>
        <w:ind w:firstLine="420" w:firstLineChars="200"/>
        <w:rPr>
          <w:rFonts w:ascii="宋体" w:hAnsi="宋体"/>
          <w:szCs w:val="21"/>
        </w:rPr>
      </w:pPr>
      <w:r>
        <w:rPr>
          <w:rFonts w:hint="eastAsia" w:ascii="宋体" w:hAnsi="宋体"/>
          <w:szCs w:val="21"/>
        </w:rPr>
        <w:t>6.3在保质、保修期内，同一设备、同一质量问题连续两次维修仍无法正常使用，乙方必须无条件免费更换同品牌、同型号新设备。</w:t>
      </w:r>
    </w:p>
    <w:p>
      <w:pPr>
        <w:spacing w:line="460" w:lineRule="exact"/>
        <w:ind w:firstLine="420" w:firstLineChars="200"/>
        <w:rPr>
          <w:rFonts w:ascii="宋体" w:hAnsi="宋体"/>
          <w:szCs w:val="21"/>
        </w:rPr>
      </w:pPr>
      <w:r>
        <w:rPr>
          <w:rFonts w:hint="eastAsia" w:ascii="宋体" w:hAnsi="宋体"/>
          <w:szCs w:val="21"/>
        </w:rPr>
        <w:t>6.4设备质量保证期自用户最终验收签字生效之日起算。质保期内由于卖方设计、制造、运输、安装及调试原因造成的零部件损坏，卖方无偿予以更换；由于用户原因造成的零部件损环，卖方有偿提供备件，并免费更换。质保期满后卖方优惠供应备件与易损件。技术服务包括提供现场应用的技术咨询和支持。</w:t>
      </w:r>
    </w:p>
    <w:p>
      <w:pPr>
        <w:adjustRightInd w:val="0"/>
        <w:snapToGrid w:val="0"/>
        <w:spacing w:line="460" w:lineRule="exact"/>
        <w:rPr>
          <w:rFonts w:ascii="宋体" w:hAnsi="宋体"/>
          <w:b/>
          <w:szCs w:val="21"/>
        </w:rPr>
      </w:pPr>
      <w:r>
        <w:rPr>
          <w:rFonts w:hint="eastAsia" w:ascii="宋体" w:hAnsi="宋体"/>
          <w:b/>
          <w:szCs w:val="21"/>
        </w:rPr>
        <w:t>七、售后服务</w:t>
      </w:r>
    </w:p>
    <w:p>
      <w:pPr>
        <w:spacing w:line="460" w:lineRule="exact"/>
        <w:ind w:firstLine="420" w:firstLineChars="200"/>
        <w:rPr>
          <w:rFonts w:ascii="宋体" w:hAnsi="宋体"/>
          <w:szCs w:val="21"/>
        </w:rPr>
      </w:pPr>
      <w:r>
        <w:rPr>
          <w:rFonts w:hint="eastAsia" w:ascii="宋体" w:hAnsi="宋体"/>
          <w:szCs w:val="21"/>
        </w:rPr>
        <w:t>整个项目质保期为两年。（自终验合格起开始计算，所有硬件设备保修期（即质保期）不低于两年（质保期内，维修应在接到甲方通知后24小时内上门服务）。免费保修期从项目验收合格之日开始计算。免费保修期外，终身维修，优惠收取更换部件的费用。投标人应确保其技术文件以及所提供的软、硬件设备的完整性、实用性，保证全部系统及时投入正常运行。否则若出现因投标人提供的软、硬件设备不满足要求、不合理，或者其所提供的技术支持和服务不全面，而导致系统无法实现或不能完全实现的状况，投标人（供货方）负全部责任。免费保修期内，投标人（供货方）负责对其提供的设备进行维修，不收取更换设备，零配件，附件及维修等全部费用。免费保修期时间及服务内容必须写在投标书中。</w:t>
      </w:r>
    </w:p>
    <w:p>
      <w:pPr>
        <w:spacing w:line="460" w:lineRule="exact"/>
        <w:ind w:firstLine="420" w:firstLineChars="200"/>
        <w:rPr>
          <w:rFonts w:ascii="宋体" w:hAnsi="宋体"/>
          <w:szCs w:val="21"/>
        </w:rPr>
      </w:pPr>
      <w:r>
        <w:rPr>
          <w:rFonts w:hint="eastAsia" w:ascii="宋体" w:hAnsi="宋体"/>
        </w:rPr>
        <w:t>服务响应及维修：</w:t>
      </w:r>
      <w:r>
        <w:rPr>
          <w:rFonts w:hint="eastAsia" w:ascii="宋体" w:hAnsi="宋体"/>
          <w:szCs w:val="21"/>
        </w:rPr>
        <w:t>投标人（供货方）须提供快速本地化现场支持，能提供7*24小时技术支持。其他质保期内，投标人（供货方）应在接到甲方通知后24小时内免费上门现场服务，否则招标方（采购方）将自行采取必要的措施，由此产生风险和费用应由投标人（供货方）承担。免费保修期内出现故障，如在前述24小时内不能解决问题，应免费在接到甲方通知后24小时内用同样的品牌、规格或更高的部件更换到位，并确保正常运行。</w:t>
      </w:r>
    </w:p>
    <w:p>
      <w:pPr>
        <w:spacing w:beforeLines="50"/>
        <w:ind w:firstLine="480" w:firstLineChars="200"/>
        <w:rPr>
          <w:rFonts w:ascii="宋体" w:hAnsi="宋体" w:cs="黑体"/>
          <w:bCs/>
          <w:sz w:val="24"/>
        </w:rPr>
      </w:pPr>
    </w:p>
    <w:sectPr>
      <w:headerReference r:id="rId3" w:type="default"/>
      <w:footerReference r:id="rId4" w:type="default"/>
      <w:pgSz w:w="11906" w:h="16838"/>
      <w:pgMar w:top="1440" w:right="1416" w:bottom="1440"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长城仿宋">
    <w:altName w:val="新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Segoe UI Symbol">
    <w:panose1 w:val="020B0502040204020203"/>
    <w:charset w:val="00"/>
    <w:family w:val="swiss"/>
    <w:pitch w:val="default"/>
    <w:sig w:usb0="8000006F" w:usb1="1200FBEF" w:usb2="0064C000" w:usb3="00000002" w:csb0="00000001" w:csb1="4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thinThickSmallGap" w:color="622423" w:sz="24" w:space="1"/>
      </w:pBdr>
      <w:jc w:val="right"/>
      <w:rPr>
        <w:rFonts w:ascii="Cambria" w:hAnsi="Cambria"/>
      </w:rPr>
    </w:pPr>
    <w:r>
      <w:rPr>
        <w:rFonts w:ascii="Cambria" w:hAnsi="Cambria"/>
        <w:lang w:val="zh-CN"/>
      </w:rPr>
      <w:t xml:space="preserve"> </w:t>
    </w:r>
    <w:r>
      <w:fldChar w:fldCharType="begin"/>
    </w:r>
    <w:r>
      <w:instrText xml:space="preserve"> PAGE   \* MERGEFORMAT </w:instrText>
    </w:r>
    <w:r>
      <w:fldChar w:fldCharType="separate"/>
    </w:r>
    <w:r>
      <w:rPr>
        <w:rFonts w:ascii="Cambria" w:hAnsi="Cambria"/>
        <w:lang w:val="zh-CN"/>
      </w:rPr>
      <w:t>71</w:t>
    </w:r>
    <w:r>
      <w:rPr>
        <w:rFonts w:ascii="Cambria" w:hAnsi="Cambria"/>
        <w:lang w:val="zh-CN"/>
      </w:rPr>
      <w:fldChar w:fldCharType="end"/>
    </w:r>
  </w:p>
  <w:p>
    <w:pPr>
      <w:pStyle w:val="27"/>
      <w:ind w:left="180" w:right="360" w:hanging="180" w:hangingChars="100"/>
      <w:jc w:val="right"/>
      <w:rPr>
        <w:rFonts w:eastAsia="楷体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thickThinSmallGap" w:color="622423" w:sz="24" w:space="1"/>
      </w:pBdr>
      <w:rPr>
        <w:sz w:val="21"/>
        <w:szCs w:val="21"/>
      </w:rPr>
    </w:pPr>
    <w:r>
      <w:rPr>
        <w:rFonts w:hint="eastAsia"/>
        <w:sz w:val="21"/>
        <w:szCs w:val="21"/>
      </w:rPr>
      <w:t>平江县贫困地区村文化活动室设备购置项目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EF1275"/>
    <w:multiLevelType w:val="singleLevel"/>
    <w:tmpl w:val="DAEF1275"/>
    <w:lvl w:ilvl="0" w:tentative="0">
      <w:start w:val="1"/>
      <w:numFmt w:val="decimal"/>
      <w:suff w:val="nothing"/>
      <w:lvlText w:val="（%1）"/>
      <w:lvlJc w:val="left"/>
    </w:lvl>
  </w:abstractNum>
  <w:abstractNum w:abstractNumId="1">
    <w:nsid w:val="4157BB3A"/>
    <w:multiLevelType w:val="singleLevel"/>
    <w:tmpl w:val="4157BB3A"/>
    <w:lvl w:ilvl="0" w:tentative="0">
      <w:start w:val="5"/>
      <w:numFmt w:val="decimal"/>
      <w:suff w:val="nothing"/>
      <w:lvlText w:val="（%1）"/>
      <w:lvlJc w:val="left"/>
    </w:lvl>
  </w:abstractNum>
  <w:abstractNum w:abstractNumId="2">
    <w:nsid w:val="586B0D3B"/>
    <w:multiLevelType w:val="singleLevel"/>
    <w:tmpl w:val="586B0D3B"/>
    <w:lvl w:ilvl="0" w:tentative="0">
      <w:start w:val="5"/>
      <w:numFmt w:val="decimal"/>
      <w:suff w:val="nothing"/>
      <w:lvlText w:val="%1、"/>
      <w:lvlJc w:val="left"/>
    </w:lvl>
  </w:abstractNum>
  <w:abstractNum w:abstractNumId="3">
    <w:nsid w:val="7AE276A5"/>
    <w:multiLevelType w:val="multilevel"/>
    <w:tmpl w:val="7AE276A5"/>
    <w:lvl w:ilvl="0" w:tentative="0">
      <w:start w:val="1"/>
      <w:numFmt w:val="japaneseCounting"/>
      <w:lvlText w:val="（%1）"/>
      <w:lvlJc w:val="left"/>
      <w:pPr>
        <w:ind w:left="1440" w:hanging="10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00172A27"/>
    <w:rsid w:val="00007BFD"/>
    <w:rsid w:val="00010614"/>
    <w:rsid w:val="00010DA1"/>
    <w:rsid w:val="00011FCE"/>
    <w:rsid w:val="000176DE"/>
    <w:rsid w:val="00017BA6"/>
    <w:rsid w:val="000200C4"/>
    <w:rsid w:val="000203A9"/>
    <w:rsid w:val="000253B6"/>
    <w:rsid w:val="00025945"/>
    <w:rsid w:val="00026C3F"/>
    <w:rsid w:val="00026DA6"/>
    <w:rsid w:val="000305DA"/>
    <w:rsid w:val="00030ABA"/>
    <w:rsid w:val="00031CC8"/>
    <w:rsid w:val="00032743"/>
    <w:rsid w:val="00035753"/>
    <w:rsid w:val="000358F4"/>
    <w:rsid w:val="00035FAA"/>
    <w:rsid w:val="00037AA1"/>
    <w:rsid w:val="00041E38"/>
    <w:rsid w:val="00042ADB"/>
    <w:rsid w:val="00044544"/>
    <w:rsid w:val="00044601"/>
    <w:rsid w:val="000465E9"/>
    <w:rsid w:val="000471D7"/>
    <w:rsid w:val="00051BAE"/>
    <w:rsid w:val="00051D38"/>
    <w:rsid w:val="00052719"/>
    <w:rsid w:val="00054C73"/>
    <w:rsid w:val="000570AE"/>
    <w:rsid w:val="00057A9D"/>
    <w:rsid w:val="00057BF5"/>
    <w:rsid w:val="000603FA"/>
    <w:rsid w:val="00060BD7"/>
    <w:rsid w:val="000637CB"/>
    <w:rsid w:val="00064741"/>
    <w:rsid w:val="0006536A"/>
    <w:rsid w:val="0006776A"/>
    <w:rsid w:val="0007396A"/>
    <w:rsid w:val="00073B62"/>
    <w:rsid w:val="00076892"/>
    <w:rsid w:val="000800AC"/>
    <w:rsid w:val="00080D21"/>
    <w:rsid w:val="00084F46"/>
    <w:rsid w:val="00086B30"/>
    <w:rsid w:val="00090A9E"/>
    <w:rsid w:val="000918E2"/>
    <w:rsid w:val="00092281"/>
    <w:rsid w:val="00093A11"/>
    <w:rsid w:val="00095F3C"/>
    <w:rsid w:val="00097529"/>
    <w:rsid w:val="000A1C6C"/>
    <w:rsid w:val="000A2C31"/>
    <w:rsid w:val="000A4ACB"/>
    <w:rsid w:val="000A735D"/>
    <w:rsid w:val="000B10D7"/>
    <w:rsid w:val="000B115B"/>
    <w:rsid w:val="000B2600"/>
    <w:rsid w:val="000B3E0D"/>
    <w:rsid w:val="000B4B9F"/>
    <w:rsid w:val="000B4F69"/>
    <w:rsid w:val="000B538E"/>
    <w:rsid w:val="000B625D"/>
    <w:rsid w:val="000C039D"/>
    <w:rsid w:val="000C34AE"/>
    <w:rsid w:val="000C3927"/>
    <w:rsid w:val="000C3D3F"/>
    <w:rsid w:val="000C5369"/>
    <w:rsid w:val="000C7B40"/>
    <w:rsid w:val="000D0691"/>
    <w:rsid w:val="000D4CCD"/>
    <w:rsid w:val="000D6EAE"/>
    <w:rsid w:val="000D784F"/>
    <w:rsid w:val="000E2787"/>
    <w:rsid w:val="000E380C"/>
    <w:rsid w:val="000E4CAF"/>
    <w:rsid w:val="000F3C84"/>
    <w:rsid w:val="000F4106"/>
    <w:rsid w:val="000F44FF"/>
    <w:rsid w:val="000F6CD0"/>
    <w:rsid w:val="001001FF"/>
    <w:rsid w:val="0010219C"/>
    <w:rsid w:val="001029A6"/>
    <w:rsid w:val="00103E66"/>
    <w:rsid w:val="0010574B"/>
    <w:rsid w:val="00110753"/>
    <w:rsid w:val="0011269E"/>
    <w:rsid w:val="00113381"/>
    <w:rsid w:val="001140FC"/>
    <w:rsid w:val="00114659"/>
    <w:rsid w:val="00114D29"/>
    <w:rsid w:val="00117558"/>
    <w:rsid w:val="00117740"/>
    <w:rsid w:val="00117FC0"/>
    <w:rsid w:val="00123F75"/>
    <w:rsid w:val="0012687A"/>
    <w:rsid w:val="00132B99"/>
    <w:rsid w:val="00132D1C"/>
    <w:rsid w:val="00135977"/>
    <w:rsid w:val="00137D89"/>
    <w:rsid w:val="00140F99"/>
    <w:rsid w:val="00147D99"/>
    <w:rsid w:val="001528C3"/>
    <w:rsid w:val="001543D7"/>
    <w:rsid w:val="00154790"/>
    <w:rsid w:val="001571B2"/>
    <w:rsid w:val="00160AAF"/>
    <w:rsid w:val="00160BBB"/>
    <w:rsid w:val="00165226"/>
    <w:rsid w:val="00166E4E"/>
    <w:rsid w:val="001704C5"/>
    <w:rsid w:val="00171BDF"/>
    <w:rsid w:val="00172A27"/>
    <w:rsid w:val="00174CA6"/>
    <w:rsid w:val="0017620C"/>
    <w:rsid w:val="0017647D"/>
    <w:rsid w:val="001778BB"/>
    <w:rsid w:val="00181B9A"/>
    <w:rsid w:val="00183ED5"/>
    <w:rsid w:val="00184860"/>
    <w:rsid w:val="00184B1B"/>
    <w:rsid w:val="001850C9"/>
    <w:rsid w:val="00187956"/>
    <w:rsid w:val="001916C7"/>
    <w:rsid w:val="00195D96"/>
    <w:rsid w:val="00195E3F"/>
    <w:rsid w:val="001A10AF"/>
    <w:rsid w:val="001A6DE0"/>
    <w:rsid w:val="001A7338"/>
    <w:rsid w:val="001B006A"/>
    <w:rsid w:val="001B28B1"/>
    <w:rsid w:val="001B3669"/>
    <w:rsid w:val="001B3AE3"/>
    <w:rsid w:val="001B72AD"/>
    <w:rsid w:val="001C0837"/>
    <w:rsid w:val="001C150B"/>
    <w:rsid w:val="001C1B34"/>
    <w:rsid w:val="001C26A7"/>
    <w:rsid w:val="001C2953"/>
    <w:rsid w:val="001C2D5F"/>
    <w:rsid w:val="001C3FBB"/>
    <w:rsid w:val="001C562C"/>
    <w:rsid w:val="001C628A"/>
    <w:rsid w:val="001C6F9D"/>
    <w:rsid w:val="001C7D91"/>
    <w:rsid w:val="001D022A"/>
    <w:rsid w:val="001D0340"/>
    <w:rsid w:val="001D1119"/>
    <w:rsid w:val="001D241A"/>
    <w:rsid w:val="001D59BF"/>
    <w:rsid w:val="001E131F"/>
    <w:rsid w:val="001E221F"/>
    <w:rsid w:val="001E3021"/>
    <w:rsid w:val="001E3471"/>
    <w:rsid w:val="001E373E"/>
    <w:rsid w:val="001E5C7E"/>
    <w:rsid w:val="001E6476"/>
    <w:rsid w:val="001E742D"/>
    <w:rsid w:val="001F0D24"/>
    <w:rsid w:val="001F26D1"/>
    <w:rsid w:val="001F532B"/>
    <w:rsid w:val="001F55DB"/>
    <w:rsid w:val="00200029"/>
    <w:rsid w:val="00201E94"/>
    <w:rsid w:val="002038F9"/>
    <w:rsid w:val="002068CC"/>
    <w:rsid w:val="00210475"/>
    <w:rsid w:val="00210CCA"/>
    <w:rsid w:val="00211219"/>
    <w:rsid w:val="002116E8"/>
    <w:rsid w:val="00211BB7"/>
    <w:rsid w:val="002127CE"/>
    <w:rsid w:val="00212BDA"/>
    <w:rsid w:val="0021329B"/>
    <w:rsid w:val="0021352D"/>
    <w:rsid w:val="00213AFD"/>
    <w:rsid w:val="00213B3D"/>
    <w:rsid w:val="002230A1"/>
    <w:rsid w:val="00223D7E"/>
    <w:rsid w:val="0022470F"/>
    <w:rsid w:val="00224BEE"/>
    <w:rsid w:val="00224EF8"/>
    <w:rsid w:val="00225385"/>
    <w:rsid w:val="002254ED"/>
    <w:rsid w:val="00230F2B"/>
    <w:rsid w:val="0023310F"/>
    <w:rsid w:val="00241244"/>
    <w:rsid w:val="00243C72"/>
    <w:rsid w:val="00244502"/>
    <w:rsid w:val="00245498"/>
    <w:rsid w:val="00245F77"/>
    <w:rsid w:val="00247543"/>
    <w:rsid w:val="00247634"/>
    <w:rsid w:val="00247E0B"/>
    <w:rsid w:val="002501BF"/>
    <w:rsid w:val="00250343"/>
    <w:rsid w:val="0025139B"/>
    <w:rsid w:val="00252BBB"/>
    <w:rsid w:val="00254CE5"/>
    <w:rsid w:val="00255814"/>
    <w:rsid w:val="00255F53"/>
    <w:rsid w:val="00257456"/>
    <w:rsid w:val="00263840"/>
    <w:rsid w:val="002656DD"/>
    <w:rsid w:val="00266ACD"/>
    <w:rsid w:val="00267DF8"/>
    <w:rsid w:val="002729DD"/>
    <w:rsid w:val="00275A0A"/>
    <w:rsid w:val="002761B6"/>
    <w:rsid w:val="00282A50"/>
    <w:rsid w:val="0028490B"/>
    <w:rsid w:val="00286B78"/>
    <w:rsid w:val="00287E41"/>
    <w:rsid w:val="00291A29"/>
    <w:rsid w:val="0029778B"/>
    <w:rsid w:val="002A0B6F"/>
    <w:rsid w:val="002A0E2C"/>
    <w:rsid w:val="002A3172"/>
    <w:rsid w:val="002A40FD"/>
    <w:rsid w:val="002A5365"/>
    <w:rsid w:val="002B0C59"/>
    <w:rsid w:val="002B0E37"/>
    <w:rsid w:val="002C2852"/>
    <w:rsid w:val="002C2979"/>
    <w:rsid w:val="002C33C7"/>
    <w:rsid w:val="002C3496"/>
    <w:rsid w:val="002C5B2B"/>
    <w:rsid w:val="002C7359"/>
    <w:rsid w:val="002D019A"/>
    <w:rsid w:val="002D34B6"/>
    <w:rsid w:val="002D39BD"/>
    <w:rsid w:val="002D411A"/>
    <w:rsid w:val="002D425A"/>
    <w:rsid w:val="002D5987"/>
    <w:rsid w:val="002E0FEC"/>
    <w:rsid w:val="002E13BE"/>
    <w:rsid w:val="002E13DC"/>
    <w:rsid w:val="002E2D21"/>
    <w:rsid w:val="002E2EC8"/>
    <w:rsid w:val="002E392A"/>
    <w:rsid w:val="002E4AF2"/>
    <w:rsid w:val="002E5902"/>
    <w:rsid w:val="002E6376"/>
    <w:rsid w:val="002F163E"/>
    <w:rsid w:val="002F1DBC"/>
    <w:rsid w:val="002F3382"/>
    <w:rsid w:val="002F3B32"/>
    <w:rsid w:val="002F3C06"/>
    <w:rsid w:val="002F5BA4"/>
    <w:rsid w:val="002F5DDB"/>
    <w:rsid w:val="002F5F51"/>
    <w:rsid w:val="002F6E55"/>
    <w:rsid w:val="002F758F"/>
    <w:rsid w:val="00300542"/>
    <w:rsid w:val="003020DB"/>
    <w:rsid w:val="00304ADF"/>
    <w:rsid w:val="00304CAA"/>
    <w:rsid w:val="00305362"/>
    <w:rsid w:val="003053F4"/>
    <w:rsid w:val="00306603"/>
    <w:rsid w:val="003078F6"/>
    <w:rsid w:val="00307B68"/>
    <w:rsid w:val="00310962"/>
    <w:rsid w:val="00310FB7"/>
    <w:rsid w:val="00312950"/>
    <w:rsid w:val="003143AB"/>
    <w:rsid w:val="0031470A"/>
    <w:rsid w:val="00315DEC"/>
    <w:rsid w:val="00323F5A"/>
    <w:rsid w:val="0032408A"/>
    <w:rsid w:val="0032759D"/>
    <w:rsid w:val="003339F8"/>
    <w:rsid w:val="00333A73"/>
    <w:rsid w:val="003402F0"/>
    <w:rsid w:val="003407E8"/>
    <w:rsid w:val="00340E0D"/>
    <w:rsid w:val="00342F02"/>
    <w:rsid w:val="003448EE"/>
    <w:rsid w:val="00344BC8"/>
    <w:rsid w:val="00350CEB"/>
    <w:rsid w:val="00350FB1"/>
    <w:rsid w:val="003510FD"/>
    <w:rsid w:val="00352455"/>
    <w:rsid w:val="00353DBD"/>
    <w:rsid w:val="00355388"/>
    <w:rsid w:val="003556F4"/>
    <w:rsid w:val="00360752"/>
    <w:rsid w:val="00364573"/>
    <w:rsid w:val="003660BC"/>
    <w:rsid w:val="00370D2A"/>
    <w:rsid w:val="00371C40"/>
    <w:rsid w:val="003753F0"/>
    <w:rsid w:val="003775DD"/>
    <w:rsid w:val="00377748"/>
    <w:rsid w:val="00377A97"/>
    <w:rsid w:val="00381833"/>
    <w:rsid w:val="00382D5B"/>
    <w:rsid w:val="00383212"/>
    <w:rsid w:val="00384750"/>
    <w:rsid w:val="0038475A"/>
    <w:rsid w:val="00387F14"/>
    <w:rsid w:val="003905F0"/>
    <w:rsid w:val="003921A9"/>
    <w:rsid w:val="00392ECC"/>
    <w:rsid w:val="00394DDC"/>
    <w:rsid w:val="003959BE"/>
    <w:rsid w:val="00396170"/>
    <w:rsid w:val="00396EB7"/>
    <w:rsid w:val="003A26EC"/>
    <w:rsid w:val="003A3B29"/>
    <w:rsid w:val="003A4DE3"/>
    <w:rsid w:val="003A4F4E"/>
    <w:rsid w:val="003A5485"/>
    <w:rsid w:val="003A79CF"/>
    <w:rsid w:val="003B1E94"/>
    <w:rsid w:val="003B3266"/>
    <w:rsid w:val="003B3631"/>
    <w:rsid w:val="003B4788"/>
    <w:rsid w:val="003C018F"/>
    <w:rsid w:val="003C27D2"/>
    <w:rsid w:val="003C2B22"/>
    <w:rsid w:val="003C5A78"/>
    <w:rsid w:val="003C5D87"/>
    <w:rsid w:val="003C6A8B"/>
    <w:rsid w:val="003D2269"/>
    <w:rsid w:val="003D2812"/>
    <w:rsid w:val="003D29F3"/>
    <w:rsid w:val="003E2849"/>
    <w:rsid w:val="003E3ABB"/>
    <w:rsid w:val="003E5971"/>
    <w:rsid w:val="003E5A95"/>
    <w:rsid w:val="003F404E"/>
    <w:rsid w:val="003F680C"/>
    <w:rsid w:val="003F78FB"/>
    <w:rsid w:val="004002C7"/>
    <w:rsid w:val="00401567"/>
    <w:rsid w:val="00401768"/>
    <w:rsid w:val="004025F9"/>
    <w:rsid w:val="00406162"/>
    <w:rsid w:val="00411505"/>
    <w:rsid w:val="004115F8"/>
    <w:rsid w:val="00411855"/>
    <w:rsid w:val="0041661B"/>
    <w:rsid w:val="00417C51"/>
    <w:rsid w:val="0042032C"/>
    <w:rsid w:val="004213F5"/>
    <w:rsid w:val="00425FD4"/>
    <w:rsid w:val="00427FEF"/>
    <w:rsid w:val="0043098C"/>
    <w:rsid w:val="0043314F"/>
    <w:rsid w:val="00433B8F"/>
    <w:rsid w:val="00433C72"/>
    <w:rsid w:val="00434311"/>
    <w:rsid w:val="00436784"/>
    <w:rsid w:val="00436F4B"/>
    <w:rsid w:val="00441ACA"/>
    <w:rsid w:val="00443E87"/>
    <w:rsid w:val="00445D8A"/>
    <w:rsid w:val="00447EF6"/>
    <w:rsid w:val="0045041D"/>
    <w:rsid w:val="00451BBB"/>
    <w:rsid w:val="0045388F"/>
    <w:rsid w:val="00454956"/>
    <w:rsid w:val="0045501E"/>
    <w:rsid w:val="00455CC2"/>
    <w:rsid w:val="00455E37"/>
    <w:rsid w:val="0045651E"/>
    <w:rsid w:val="00460B15"/>
    <w:rsid w:val="00461C93"/>
    <w:rsid w:val="004622D9"/>
    <w:rsid w:val="00465404"/>
    <w:rsid w:val="00466B8A"/>
    <w:rsid w:val="0046704D"/>
    <w:rsid w:val="004674B1"/>
    <w:rsid w:val="0047287B"/>
    <w:rsid w:val="00473DD5"/>
    <w:rsid w:val="00474D99"/>
    <w:rsid w:val="0047536A"/>
    <w:rsid w:val="00476DED"/>
    <w:rsid w:val="004819FC"/>
    <w:rsid w:val="00485669"/>
    <w:rsid w:val="004873B1"/>
    <w:rsid w:val="004905E1"/>
    <w:rsid w:val="00491EAE"/>
    <w:rsid w:val="00494727"/>
    <w:rsid w:val="00495383"/>
    <w:rsid w:val="00496D29"/>
    <w:rsid w:val="00497C10"/>
    <w:rsid w:val="004A16FE"/>
    <w:rsid w:val="004A1F9C"/>
    <w:rsid w:val="004A3A9D"/>
    <w:rsid w:val="004A4CA5"/>
    <w:rsid w:val="004A4D70"/>
    <w:rsid w:val="004A6819"/>
    <w:rsid w:val="004B0CE4"/>
    <w:rsid w:val="004B2EA7"/>
    <w:rsid w:val="004B5D15"/>
    <w:rsid w:val="004C2A4A"/>
    <w:rsid w:val="004C4E4C"/>
    <w:rsid w:val="004C736C"/>
    <w:rsid w:val="004D2AD0"/>
    <w:rsid w:val="004D6E9F"/>
    <w:rsid w:val="004E1322"/>
    <w:rsid w:val="004E4C24"/>
    <w:rsid w:val="004E5595"/>
    <w:rsid w:val="004F2110"/>
    <w:rsid w:val="004F504B"/>
    <w:rsid w:val="004F6F1E"/>
    <w:rsid w:val="004F78C4"/>
    <w:rsid w:val="00501313"/>
    <w:rsid w:val="00502E7B"/>
    <w:rsid w:val="00506932"/>
    <w:rsid w:val="00507C0B"/>
    <w:rsid w:val="0051089B"/>
    <w:rsid w:val="00511CAC"/>
    <w:rsid w:val="00515FC2"/>
    <w:rsid w:val="00517747"/>
    <w:rsid w:val="0052043D"/>
    <w:rsid w:val="005259EA"/>
    <w:rsid w:val="00526780"/>
    <w:rsid w:val="005267DA"/>
    <w:rsid w:val="00531C84"/>
    <w:rsid w:val="00532EB2"/>
    <w:rsid w:val="00535341"/>
    <w:rsid w:val="00540B65"/>
    <w:rsid w:val="00544FDC"/>
    <w:rsid w:val="00546AB9"/>
    <w:rsid w:val="005517CA"/>
    <w:rsid w:val="00553ADA"/>
    <w:rsid w:val="00553C36"/>
    <w:rsid w:val="00565361"/>
    <w:rsid w:val="0056639A"/>
    <w:rsid w:val="0057074B"/>
    <w:rsid w:val="00570EB7"/>
    <w:rsid w:val="00575616"/>
    <w:rsid w:val="0057575D"/>
    <w:rsid w:val="00575BA6"/>
    <w:rsid w:val="005801E6"/>
    <w:rsid w:val="005803B2"/>
    <w:rsid w:val="00580581"/>
    <w:rsid w:val="0058226C"/>
    <w:rsid w:val="00582FE9"/>
    <w:rsid w:val="005875BA"/>
    <w:rsid w:val="0058762E"/>
    <w:rsid w:val="0059161A"/>
    <w:rsid w:val="0059315E"/>
    <w:rsid w:val="00593C72"/>
    <w:rsid w:val="00593D18"/>
    <w:rsid w:val="00593EF0"/>
    <w:rsid w:val="00594E08"/>
    <w:rsid w:val="005958E1"/>
    <w:rsid w:val="005A09A0"/>
    <w:rsid w:val="005A1027"/>
    <w:rsid w:val="005A1905"/>
    <w:rsid w:val="005A202B"/>
    <w:rsid w:val="005A3560"/>
    <w:rsid w:val="005B0711"/>
    <w:rsid w:val="005B2CB8"/>
    <w:rsid w:val="005B49C4"/>
    <w:rsid w:val="005B4A47"/>
    <w:rsid w:val="005C1087"/>
    <w:rsid w:val="005C6FC7"/>
    <w:rsid w:val="005C7743"/>
    <w:rsid w:val="005C795B"/>
    <w:rsid w:val="005D0506"/>
    <w:rsid w:val="005D111D"/>
    <w:rsid w:val="005D3145"/>
    <w:rsid w:val="005D5511"/>
    <w:rsid w:val="005D5DB7"/>
    <w:rsid w:val="005E142C"/>
    <w:rsid w:val="005E556C"/>
    <w:rsid w:val="005F17A8"/>
    <w:rsid w:val="005F26E2"/>
    <w:rsid w:val="005F3681"/>
    <w:rsid w:val="005F59F0"/>
    <w:rsid w:val="005F74BF"/>
    <w:rsid w:val="005F74DB"/>
    <w:rsid w:val="005F78F0"/>
    <w:rsid w:val="00600100"/>
    <w:rsid w:val="006012E9"/>
    <w:rsid w:val="00601540"/>
    <w:rsid w:val="00603AB3"/>
    <w:rsid w:val="00616E2F"/>
    <w:rsid w:val="0061787E"/>
    <w:rsid w:val="00621305"/>
    <w:rsid w:val="00624C0B"/>
    <w:rsid w:val="006268E8"/>
    <w:rsid w:val="006313AE"/>
    <w:rsid w:val="00632CD9"/>
    <w:rsid w:val="00632ED9"/>
    <w:rsid w:val="00636CBE"/>
    <w:rsid w:val="006377A8"/>
    <w:rsid w:val="006408E8"/>
    <w:rsid w:val="00640E7A"/>
    <w:rsid w:val="00651724"/>
    <w:rsid w:val="0065255B"/>
    <w:rsid w:val="0065537E"/>
    <w:rsid w:val="0065550A"/>
    <w:rsid w:val="00655AD4"/>
    <w:rsid w:val="00655ECD"/>
    <w:rsid w:val="00660166"/>
    <w:rsid w:val="00663ACD"/>
    <w:rsid w:val="00664D15"/>
    <w:rsid w:val="00665E56"/>
    <w:rsid w:val="00667647"/>
    <w:rsid w:val="006708B3"/>
    <w:rsid w:val="006711ED"/>
    <w:rsid w:val="0067196D"/>
    <w:rsid w:val="00675324"/>
    <w:rsid w:val="006766BE"/>
    <w:rsid w:val="00677A91"/>
    <w:rsid w:val="0068213B"/>
    <w:rsid w:val="00682E45"/>
    <w:rsid w:val="00684913"/>
    <w:rsid w:val="00686EC6"/>
    <w:rsid w:val="00687366"/>
    <w:rsid w:val="00687A7F"/>
    <w:rsid w:val="006902F1"/>
    <w:rsid w:val="00694DCD"/>
    <w:rsid w:val="00696047"/>
    <w:rsid w:val="00697594"/>
    <w:rsid w:val="006A0DAF"/>
    <w:rsid w:val="006A18ED"/>
    <w:rsid w:val="006A22A4"/>
    <w:rsid w:val="006A2B19"/>
    <w:rsid w:val="006A39AF"/>
    <w:rsid w:val="006A57D9"/>
    <w:rsid w:val="006A5849"/>
    <w:rsid w:val="006A71F0"/>
    <w:rsid w:val="006A78DF"/>
    <w:rsid w:val="006B6C17"/>
    <w:rsid w:val="006B76CE"/>
    <w:rsid w:val="006B7BE2"/>
    <w:rsid w:val="006C085E"/>
    <w:rsid w:val="006C4B33"/>
    <w:rsid w:val="006D00EF"/>
    <w:rsid w:val="006D0324"/>
    <w:rsid w:val="006D0CEB"/>
    <w:rsid w:val="006D2DFB"/>
    <w:rsid w:val="006D49D0"/>
    <w:rsid w:val="006D5BBB"/>
    <w:rsid w:val="006D5BFE"/>
    <w:rsid w:val="006D75C0"/>
    <w:rsid w:val="006D7790"/>
    <w:rsid w:val="006E102B"/>
    <w:rsid w:val="006E1ABE"/>
    <w:rsid w:val="006E3363"/>
    <w:rsid w:val="006E67F6"/>
    <w:rsid w:val="006F2314"/>
    <w:rsid w:val="006F53C3"/>
    <w:rsid w:val="006F7A64"/>
    <w:rsid w:val="00700DE7"/>
    <w:rsid w:val="00702505"/>
    <w:rsid w:val="00704B75"/>
    <w:rsid w:val="00705E93"/>
    <w:rsid w:val="007060ED"/>
    <w:rsid w:val="00706DDD"/>
    <w:rsid w:val="00707D93"/>
    <w:rsid w:val="007111D7"/>
    <w:rsid w:val="00713706"/>
    <w:rsid w:val="00715F75"/>
    <w:rsid w:val="00716924"/>
    <w:rsid w:val="00720A71"/>
    <w:rsid w:val="00723333"/>
    <w:rsid w:val="00723B36"/>
    <w:rsid w:val="00723CEE"/>
    <w:rsid w:val="00724898"/>
    <w:rsid w:val="007256E9"/>
    <w:rsid w:val="00726294"/>
    <w:rsid w:val="00727844"/>
    <w:rsid w:val="00727E53"/>
    <w:rsid w:val="0073161E"/>
    <w:rsid w:val="00732C19"/>
    <w:rsid w:val="00732FE2"/>
    <w:rsid w:val="00735FA2"/>
    <w:rsid w:val="00737D9C"/>
    <w:rsid w:val="0074043E"/>
    <w:rsid w:val="00741702"/>
    <w:rsid w:val="0074212B"/>
    <w:rsid w:val="00744FF6"/>
    <w:rsid w:val="00750E35"/>
    <w:rsid w:val="007511B7"/>
    <w:rsid w:val="007518DA"/>
    <w:rsid w:val="00752ADE"/>
    <w:rsid w:val="00754E38"/>
    <w:rsid w:val="0075517D"/>
    <w:rsid w:val="00757ACF"/>
    <w:rsid w:val="007621CE"/>
    <w:rsid w:val="00762BBB"/>
    <w:rsid w:val="0076421D"/>
    <w:rsid w:val="00765648"/>
    <w:rsid w:val="00766F25"/>
    <w:rsid w:val="00770F44"/>
    <w:rsid w:val="00777538"/>
    <w:rsid w:val="007810D7"/>
    <w:rsid w:val="0078178B"/>
    <w:rsid w:val="007817A4"/>
    <w:rsid w:val="00782CC8"/>
    <w:rsid w:val="00784A81"/>
    <w:rsid w:val="00786FC2"/>
    <w:rsid w:val="00791ED6"/>
    <w:rsid w:val="00792026"/>
    <w:rsid w:val="007928B9"/>
    <w:rsid w:val="00792B23"/>
    <w:rsid w:val="007937B0"/>
    <w:rsid w:val="00796EE1"/>
    <w:rsid w:val="00797FA7"/>
    <w:rsid w:val="007A4879"/>
    <w:rsid w:val="007A565A"/>
    <w:rsid w:val="007B0355"/>
    <w:rsid w:val="007B3E75"/>
    <w:rsid w:val="007B5DE6"/>
    <w:rsid w:val="007B62C9"/>
    <w:rsid w:val="007B63FE"/>
    <w:rsid w:val="007B6C4E"/>
    <w:rsid w:val="007B6D1D"/>
    <w:rsid w:val="007C0FE8"/>
    <w:rsid w:val="007C1907"/>
    <w:rsid w:val="007C3AEA"/>
    <w:rsid w:val="007C3C12"/>
    <w:rsid w:val="007C4D31"/>
    <w:rsid w:val="007C5584"/>
    <w:rsid w:val="007C591D"/>
    <w:rsid w:val="007C609E"/>
    <w:rsid w:val="007C6A5C"/>
    <w:rsid w:val="007C6E8E"/>
    <w:rsid w:val="007D2D20"/>
    <w:rsid w:val="007D3933"/>
    <w:rsid w:val="007D573B"/>
    <w:rsid w:val="007D7211"/>
    <w:rsid w:val="007D7676"/>
    <w:rsid w:val="007E2F8E"/>
    <w:rsid w:val="007E360D"/>
    <w:rsid w:val="007E58D0"/>
    <w:rsid w:val="007F0D78"/>
    <w:rsid w:val="007F3602"/>
    <w:rsid w:val="007F4D25"/>
    <w:rsid w:val="007F786D"/>
    <w:rsid w:val="00802D24"/>
    <w:rsid w:val="00805820"/>
    <w:rsid w:val="008127AC"/>
    <w:rsid w:val="00813574"/>
    <w:rsid w:val="008138BA"/>
    <w:rsid w:val="00814129"/>
    <w:rsid w:val="00816549"/>
    <w:rsid w:val="008222BF"/>
    <w:rsid w:val="008237AA"/>
    <w:rsid w:val="008242AE"/>
    <w:rsid w:val="00824E96"/>
    <w:rsid w:val="008325AC"/>
    <w:rsid w:val="00834A64"/>
    <w:rsid w:val="00835C68"/>
    <w:rsid w:val="00836A33"/>
    <w:rsid w:val="008412DA"/>
    <w:rsid w:val="0084606C"/>
    <w:rsid w:val="008475B1"/>
    <w:rsid w:val="008477DD"/>
    <w:rsid w:val="00847F82"/>
    <w:rsid w:val="00850EC5"/>
    <w:rsid w:val="00852C4C"/>
    <w:rsid w:val="008534B5"/>
    <w:rsid w:val="008561C0"/>
    <w:rsid w:val="00864762"/>
    <w:rsid w:val="00873677"/>
    <w:rsid w:val="008748FD"/>
    <w:rsid w:val="00880EA1"/>
    <w:rsid w:val="008826CF"/>
    <w:rsid w:val="00883118"/>
    <w:rsid w:val="00883A59"/>
    <w:rsid w:val="00883EC7"/>
    <w:rsid w:val="00885269"/>
    <w:rsid w:val="00887817"/>
    <w:rsid w:val="00887B84"/>
    <w:rsid w:val="00891919"/>
    <w:rsid w:val="00893498"/>
    <w:rsid w:val="00895111"/>
    <w:rsid w:val="00897DB3"/>
    <w:rsid w:val="008A288C"/>
    <w:rsid w:val="008A2D4A"/>
    <w:rsid w:val="008A3FB4"/>
    <w:rsid w:val="008A4171"/>
    <w:rsid w:val="008A555C"/>
    <w:rsid w:val="008B3571"/>
    <w:rsid w:val="008C05A9"/>
    <w:rsid w:val="008C1249"/>
    <w:rsid w:val="008C296D"/>
    <w:rsid w:val="008C2A66"/>
    <w:rsid w:val="008C3315"/>
    <w:rsid w:val="008C4CB5"/>
    <w:rsid w:val="008C5AFC"/>
    <w:rsid w:val="008C75AB"/>
    <w:rsid w:val="008D2A1F"/>
    <w:rsid w:val="008D5641"/>
    <w:rsid w:val="008E106F"/>
    <w:rsid w:val="008E13FA"/>
    <w:rsid w:val="008E622E"/>
    <w:rsid w:val="008E7165"/>
    <w:rsid w:val="008E7254"/>
    <w:rsid w:val="008E759E"/>
    <w:rsid w:val="008E7EE1"/>
    <w:rsid w:val="008F2E22"/>
    <w:rsid w:val="008F31A3"/>
    <w:rsid w:val="00900C59"/>
    <w:rsid w:val="009028B6"/>
    <w:rsid w:val="00903CCF"/>
    <w:rsid w:val="00905DCF"/>
    <w:rsid w:val="0091012E"/>
    <w:rsid w:val="00913271"/>
    <w:rsid w:val="009132D4"/>
    <w:rsid w:val="0091396B"/>
    <w:rsid w:val="009145FA"/>
    <w:rsid w:val="00915B7A"/>
    <w:rsid w:val="00916AD0"/>
    <w:rsid w:val="00921A13"/>
    <w:rsid w:val="00922467"/>
    <w:rsid w:val="00924F69"/>
    <w:rsid w:val="009252C0"/>
    <w:rsid w:val="00934AF3"/>
    <w:rsid w:val="009375FE"/>
    <w:rsid w:val="0094047C"/>
    <w:rsid w:val="00941026"/>
    <w:rsid w:val="00944FF2"/>
    <w:rsid w:val="0094553F"/>
    <w:rsid w:val="00945A2C"/>
    <w:rsid w:val="009470E9"/>
    <w:rsid w:val="00947767"/>
    <w:rsid w:val="0094786D"/>
    <w:rsid w:val="009552C8"/>
    <w:rsid w:val="0095737D"/>
    <w:rsid w:val="00957DEA"/>
    <w:rsid w:val="00963FDD"/>
    <w:rsid w:val="00965F88"/>
    <w:rsid w:val="009662EC"/>
    <w:rsid w:val="00967873"/>
    <w:rsid w:val="00967F9A"/>
    <w:rsid w:val="00970FDD"/>
    <w:rsid w:val="009716A0"/>
    <w:rsid w:val="00971E66"/>
    <w:rsid w:val="0097513D"/>
    <w:rsid w:val="00980720"/>
    <w:rsid w:val="00981FE1"/>
    <w:rsid w:val="0098377A"/>
    <w:rsid w:val="00984A4C"/>
    <w:rsid w:val="009850D1"/>
    <w:rsid w:val="0098783E"/>
    <w:rsid w:val="009935E0"/>
    <w:rsid w:val="009947A0"/>
    <w:rsid w:val="00994E7A"/>
    <w:rsid w:val="009A0683"/>
    <w:rsid w:val="009A1E83"/>
    <w:rsid w:val="009A2799"/>
    <w:rsid w:val="009A5737"/>
    <w:rsid w:val="009B55FC"/>
    <w:rsid w:val="009B6436"/>
    <w:rsid w:val="009C08B5"/>
    <w:rsid w:val="009C1C10"/>
    <w:rsid w:val="009C40B3"/>
    <w:rsid w:val="009C6426"/>
    <w:rsid w:val="009C64A1"/>
    <w:rsid w:val="009C719E"/>
    <w:rsid w:val="009D1713"/>
    <w:rsid w:val="009D2BB2"/>
    <w:rsid w:val="009E09B5"/>
    <w:rsid w:val="009E26FF"/>
    <w:rsid w:val="009E35CA"/>
    <w:rsid w:val="009E459C"/>
    <w:rsid w:val="009E673C"/>
    <w:rsid w:val="009E7E6E"/>
    <w:rsid w:val="009F298A"/>
    <w:rsid w:val="009F3E48"/>
    <w:rsid w:val="009F3F00"/>
    <w:rsid w:val="009F4022"/>
    <w:rsid w:val="009F462E"/>
    <w:rsid w:val="00A055C1"/>
    <w:rsid w:val="00A06122"/>
    <w:rsid w:val="00A06B46"/>
    <w:rsid w:val="00A11D24"/>
    <w:rsid w:val="00A14965"/>
    <w:rsid w:val="00A14CEC"/>
    <w:rsid w:val="00A1500E"/>
    <w:rsid w:val="00A16DC7"/>
    <w:rsid w:val="00A20415"/>
    <w:rsid w:val="00A20B71"/>
    <w:rsid w:val="00A21BBB"/>
    <w:rsid w:val="00A26650"/>
    <w:rsid w:val="00A27758"/>
    <w:rsid w:val="00A309A1"/>
    <w:rsid w:val="00A329D6"/>
    <w:rsid w:val="00A3475D"/>
    <w:rsid w:val="00A3604D"/>
    <w:rsid w:val="00A36CEC"/>
    <w:rsid w:val="00A41177"/>
    <w:rsid w:val="00A41625"/>
    <w:rsid w:val="00A41AFE"/>
    <w:rsid w:val="00A42B6E"/>
    <w:rsid w:val="00A4775B"/>
    <w:rsid w:val="00A47976"/>
    <w:rsid w:val="00A501E7"/>
    <w:rsid w:val="00A502C6"/>
    <w:rsid w:val="00A50AE3"/>
    <w:rsid w:val="00A51929"/>
    <w:rsid w:val="00A55FAF"/>
    <w:rsid w:val="00A60B38"/>
    <w:rsid w:val="00A619DD"/>
    <w:rsid w:val="00A61C75"/>
    <w:rsid w:val="00A63F3C"/>
    <w:rsid w:val="00A64A14"/>
    <w:rsid w:val="00A64C38"/>
    <w:rsid w:val="00A64E4B"/>
    <w:rsid w:val="00A6626D"/>
    <w:rsid w:val="00A6780B"/>
    <w:rsid w:val="00A7264E"/>
    <w:rsid w:val="00A75873"/>
    <w:rsid w:val="00A80BCC"/>
    <w:rsid w:val="00A81B5D"/>
    <w:rsid w:val="00A8293A"/>
    <w:rsid w:val="00A83F12"/>
    <w:rsid w:val="00A93070"/>
    <w:rsid w:val="00A94B02"/>
    <w:rsid w:val="00A9633B"/>
    <w:rsid w:val="00A97891"/>
    <w:rsid w:val="00AA1F40"/>
    <w:rsid w:val="00AA2FBE"/>
    <w:rsid w:val="00AA7306"/>
    <w:rsid w:val="00AB1C72"/>
    <w:rsid w:val="00AB1F21"/>
    <w:rsid w:val="00AB32C0"/>
    <w:rsid w:val="00AB4ACB"/>
    <w:rsid w:val="00AB5F15"/>
    <w:rsid w:val="00AB5FD4"/>
    <w:rsid w:val="00AB6261"/>
    <w:rsid w:val="00AB7197"/>
    <w:rsid w:val="00AC4B28"/>
    <w:rsid w:val="00AC6A64"/>
    <w:rsid w:val="00AD036A"/>
    <w:rsid w:val="00AD07A1"/>
    <w:rsid w:val="00AD1D99"/>
    <w:rsid w:val="00AD422D"/>
    <w:rsid w:val="00AD51AD"/>
    <w:rsid w:val="00AD5CC2"/>
    <w:rsid w:val="00AE367C"/>
    <w:rsid w:val="00AE38CF"/>
    <w:rsid w:val="00AE4FAD"/>
    <w:rsid w:val="00AE5287"/>
    <w:rsid w:val="00AE5886"/>
    <w:rsid w:val="00AE5FFB"/>
    <w:rsid w:val="00AF2AA2"/>
    <w:rsid w:val="00AF33C2"/>
    <w:rsid w:val="00AF6513"/>
    <w:rsid w:val="00AF73D7"/>
    <w:rsid w:val="00B00894"/>
    <w:rsid w:val="00B01D1E"/>
    <w:rsid w:val="00B04479"/>
    <w:rsid w:val="00B0475D"/>
    <w:rsid w:val="00B056A3"/>
    <w:rsid w:val="00B10903"/>
    <w:rsid w:val="00B13D83"/>
    <w:rsid w:val="00B16133"/>
    <w:rsid w:val="00B175D2"/>
    <w:rsid w:val="00B223A1"/>
    <w:rsid w:val="00B23C5E"/>
    <w:rsid w:val="00B24DAF"/>
    <w:rsid w:val="00B26C05"/>
    <w:rsid w:val="00B300A4"/>
    <w:rsid w:val="00B30B88"/>
    <w:rsid w:val="00B323EE"/>
    <w:rsid w:val="00B3261A"/>
    <w:rsid w:val="00B348BB"/>
    <w:rsid w:val="00B35E71"/>
    <w:rsid w:val="00B4009F"/>
    <w:rsid w:val="00B42B4E"/>
    <w:rsid w:val="00B42B99"/>
    <w:rsid w:val="00B44043"/>
    <w:rsid w:val="00B51482"/>
    <w:rsid w:val="00B616FC"/>
    <w:rsid w:val="00B64E55"/>
    <w:rsid w:val="00B723EF"/>
    <w:rsid w:val="00B742FA"/>
    <w:rsid w:val="00B75A85"/>
    <w:rsid w:val="00B821B4"/>
    <w:rsid w:val="00B829A2"/>
    <w:rsid w:val="00B82D07"/>
    <w:rsid w:val="00B835C4"/>
    <w:rsid w:val="00B835C5"/>
    <w:rsid w:val="00B84ABF"/>
    <w:rsid w:val="00B84CE7"/>
    <w:rsid w:val="00B85FAA"/>
    <w:rsid w:val="00B86DBC"/>
    <w:rsid w:val="00B927EF"/>
    <w:rsid w:val="00B92BA2"/>
    <w:rsid w:val="00B93567"/>
    <w:rsid w:val="00B93F23"/>
    <w:rsid w:val="00B948F5"/>
    <w:rsid w:val="00B9572D"/>
    <w:rsid w:val="00BA0969"/>
    <w:rsid w:val="00BA0F4B"/>
    <w:rsid w:val="00BA0F73"/>
    <w:rsid w:val="00BA14FA"/>
    <w:rsid w:val="00BA6678"/>
    <w:rsid w:val="00BB0402"/>
    <w:rsid w:val="00BB206B"/>
    <w:rsid w:val="00BB4C66"/>
    <w:rsid w:val="00BB650F"/>
    <w:rsid w:val="00BB76CD"/>
    <w:rsid w:val="00BB7E49"/>
    <w:rsid w:val="00BC0A78"/>
    <w:rsid w:val="00BC585F"/>
    <w:rsid w:val="00BC66C4"/>
    <w:rsid w:val="00BC6EDD"/>
    <w:rsid w:val="00BC770C"/>
    <w:rsid w:val="00BD0320"/>
    <w:rsid w:val="00BD052C"/>
    <w:rsid w:val="00BD17B3"/>
    <w:rsid w:val="00BD2019"/>
    <w:rsid w:val="00BD5635"/>
    <w:rsid w:val="00BD613E"/>
    <w:rsid w:val="00BE10F7"/>
    <w:rsid w:val="00BE12E1"/>
    <w:rsid w:val="00BE2B8F"/>
    <w:rsid w:val="00BE4020"/>
    <w:rsid w:val="00BE5936"/>
    <w:rsid w:val="00BE5C49"/>
    <w:rsid w:val="00BF2E9A"/>
    <w:rsid w:val="00BF3EC2"/>
    <w:rsid w:val="00BF4367"/>
    <w:rsid w:val="00BF5143"/>
    <w:rsid w:val="00BF5B84"/>
    <w:rsid w:val="00BF75AD"/>
    <w:rsid w:val="00BF7AD2"/>
    <w:rsid w:val="00BF7B39"/>
    <w:rsid w:val="00C00DA5"/>
    <w:rsid w:val="00C01DA3"/>
    <w:rsid w:val="00C04212"/>
    <w:rsid w:val="00C10034"/>
    <w:rsid w:val="00C1015B"/>
    <w:rsid w:val="00C12925"/>
    <w:rsid w:val="00C12984"/>
    <w:rsid w:val="00C138FB"/>
    <w:rsid w:val="00C14525"/>
    <w:rsid w:val="00C15F50"/>
    <w:rsid w:val="00C16565"/>
    <w:rsid w:val="00C17073"/>
    <w:rsid w:val="00C215E9"/>
    <w:rsid w:val="00C2436F"/>
    <w:rsid w:val="00C2511B"/>
    <w:rsid w:val="00C26886"/>
    <w:rsid w:val="00C26ADF"/>
    <w:rsid w:val="00C26E2B"/>
    <w:rsid w:val="00C27C39"/>
    <w:rsid w:val="00C3261D"/>
    <w:rsid w:val="00C3261F"/>
    <w:rsid w:val="00C326CA"/>
    <w:rsid w:val="00C33565"/>
    <w:rsid w:val="00C339B5"/>
    <w:rsid w:val="00C350CF"/>
    <w:rsid w:val="00C36562"/>
    <w:rsid w:val="00C37915"/>
    <w:rsid w:val="00C37B92"/>
    <w:rsid w:val="00C41ADE"/>
    <w:rsid w:val="00C4278B"/>
    <w:rsid w:val="00C43029"/>
    <w:rsid w:val="00C44335"/>
    <w:rsid w:val="00C44FAC"/>
    <w:rsid w:val="00C45FE2"/>
    <w:rsid w:val="00C46B6C"/>
    <w:rsid w:val="00C47E6B"/>
    <w:rsid w:val="00C50C9A"/>
    <w:rsid w:val="00C51701"/>
    <w:rsid w:val="00C536CD"/>
    <w:rsid w:val="00C53764"/>
    <w:rsid w:val="00C5486E"/>
    <w:rsid w:val="00C601F5"/>
    <w:rsid w:val="00C61166"/>
    <w:rsid w:val="00C627E7"/>
    <w:rsid w:val="00C62AD5"/>
    <w:rsid w:val="00C6483A"/>
    <w:rsid w:val="00C65B9C"/>
    <w:rsid w:val="00C65F23"/>
    <w:rsid w:val="00C662D7"/>
    <w:rsid w:val="00C72A2E"/>
    <w:rsid w:val="00C73D9A"/>
    <w:rsid w:val="00C73E5A"/>
    <w:rsid w:val="00C7438A"/>
    <w:rsid w:val="00C74D00"/>
    <w:rsid w:val="00C821BF"/>
    <w:rsid w:val="00C83D38"/>
    <w:rsid w:val="00C8420A"/>
    <w:rsid w:val="00C84B3E"/>
    <w:rsid w:val="00C85C3C"/>
    <w:rsid w:val="00C87203"/>
    <w:rsid w:val="00C876F8"/>
    <w:rsid w:val="00C87948"/>
    <w:rsid w:val="00C9137D"/>
    <w:rsid w:val="00C919B5"/>
    <w:rsid w:val="00C91BC6"/>
    <w:rsid w:val="00C91E34"/>
    <w:rsid w:val="00C92756"/>
    <w:rsid w:val="00C927B8"/>
    <w:rsid w:val="00C93270"/>
    <w:rsid w:val="00C945A1"/>
    <w:rsid w:val="00C96163"/>
    <w:rsid w:val="00C97505"/>
    <w:rsid w:val="00C97F03"/>
    <w:rsid w:val="00CA1CD5"/>
    <w:rsid w:val="00CA58C5"/>
    <w:rsid w:val="00CB199E"/>
    <w:rsid w:val="00CB1B4E"/>
    <w:rsid w:val="00CB3752"/>
    <w:rsid w:val="00CB3B74"/>
    <w:rsid w:val="00CB58D7"/>
    <w:rsid w:val="00CC4C3E"/>
    <w:rsid w:val="00CC6633"/>
    <w:rsid w:val="00CD06EA"/>
    <w:rsid w:val="00CD0F6C"/>
    <w:rsid w:val="00CD16F0"/>
    <w:rsid w:val="00CD5275"/>
    <w:rsid w:val="00CE2295"/>
    <w:rsid w:val="00CE40E1"/>
    <w:rsid w:val="00CE48E7"/>
    <w:rsid w:val="00CE54CD"/>
    <w:rsid w:val="00CE5603"/>
    <w:rsid w:val="00CE79AE"/>
    <w:rsid w:val="00CF02A9"/>
    <w:rsid w:val="00CF1E33"/>
    <w:rsid w:val="00CF1F0D"/>
    <w:rsid w:val="00CF5884"/>
    <w:rsid w:val="00CF73C1"/>
    <w:rsid w:val="00D00973"/>
    <w:rsid w:val="00D03333"/>
    <w:rsid w:val="00D045EE"/>
    <w:rsid w:val="00D05BED"/>
    <w:rsid w:val="00D06970"/>
    <w:rsid w:val="00D1095D"/>
    <w:rsid w:val="00D10DE5"/>
    <w:rsid w:val="00D11B68"/>
    <w:rsid w:val="00D16BA1"/>
    <w:rsid w:val="00D16E03"/>
    <w:rsid w:val="00D21477"/>
    <w:rsid w:val="00D22F21"/>
    <w:rsid w:val="00D240C3"/>
    <w:rsid w:val="00D25A23"/>
    <w:rsid w:val="00D31AF6"/>
    <w:rsid w:val="00D3450C"/>
    <w:rsid w:val="00D3453E"/>
    <w:rsid w:val="00D35235"/>
    <w:rsid w:val="00D4105B"/>
    <w:rsid w:val="00D41354"/>
    <w:rsid w:val="00D41572"/>
    <w:rsid w:val="00D42202"/>
    <w:rsid w:val="00D42A59"/>
    <w:rsid w:val="00D45487"/>
    <w:rsid w:val="00D50316"/>
    <w:rsid w:val="00D51717"/>
    <w:rsid w:val="00D53BE7"/>
    <w:rsid w:val="00D57207"/>
    <w:rsid w:val="00D5779E"/>
    <w:rsid w:val="00D615FC"/>
    <w:rsid w:val="00D62C65"/>
    <w:rsid w:val="00D63209"/>
    <w:rsid w:val="00D63375"/>
    <w:rsid w:val="00D63DE1"/>
    <w:rsid w:val="00D6473A"/>
    <w:rsid w:val="00D64E10"/>
    <w:rsid w:val="00D71A9D"/>
    <w:rsid w:val="00D72CE5"/>
    <w:rsid w:val="00D80A1E"/>
    <w:rsid w:val="00D80DB2"/>
    <w:rsid w:val="00D8123A"/>
    <w:rsid w:val="00D83FB2"/>
    <w:rsid w:val="00D84FDC"/>
    <w:rsid w:val="00D873C4"/>
    <w:rsid w:val="00D9102F"/>
    <w:rsid w:val="00D9116F"/>
    <w:rsid w:val="00D941AC"/>
    <w:rsid w:val="00D95EFD"/>
    <w:rsid w:val="00DA0586"/>
    <w:rsid w:val="00DA23D0"/>
    <w:rsid w:val="00DA3741"/>
    <w:rsid w:val="00DA43B6"/>
    <w:rsid w:val="00DB0AD1"/>
    <w:rsid w:val="00DB1E77"/>
    <w:rsid w:val="00DB2634"/>
    <w:rsid w:val="00DB3A4D"/>
    <w:rsid w:val="00DB3ACE"/>
    <w:rsid w:val="00DB3F3C"/>
    <w:rsid w:val="00DB71CD"/>
    <w:rsid w:val="00DB7C7E"/>
    <w:rsid w:val="00DC2DAC"/>
    <w:rsid w:val="00DC3619"/>
    <w:rsid w:val="00DC64D4"/>
    <w:rsid w:val="00DD1CF5"/>
    <w:rsid w:val="00DD2AF7"/>
    <w:rsid w:val="00DD45CF"/>
    <w:rsid w:val="00DD5AD4"/>
    <w:rsid w:val="00DD639F"/>
    <w:rsid w:val="00DE0B6B"/>
    <w:rsid w:val="00DE5170"/>
    <w:rsid w:val="00DF14C8"/>
    <w:rsid w:val="00DF165E"/>
    <w:rsid w:val="00DF2351"/>
    <w:rsid w:val="00DF4A8B"/>
    <w:rsid w:val="00DF5125"/>
    <w:rsid w:val="00DF684E"/>
    <w:rsid w:val="00DF710B"/>
    <w:rsid w:val="00DF7DC1"/>
    <w:rsid w:val="00E01F6F"/>
    <w:rsid w:val="00E05CF3"/>
    <w:rsid w:val="00E0751F"/>
    <w:rsid w:val="00E12403"/>
    <w:rsid w:val="00E12D4E"/>
    <w:rsid w:val="00E130D4"/>
    <w:rsid w:val="00E14190"/>
    <w:rsid w:val="00E17592"/>
    <w:rsid w:val="00E17B9B"/>
    <w:rsid w:val="00E20465"/>
    <w:rsid w:val="00E23BC5"/>
    <w:rsid w:val="00E24A46"/>
    <w:rsid w:val="00E26986"/>
    <w:rsid w:val="00E26B33"/>
    <w:rsid w:val="00E5127E"/>
    <w:rsid w:val="00E52789"/>
    <w:rsid w:val="00E52D10"/>
    <w:rsid w:val="00E54A30"/>
    <w:rsid w:val="00E568F5"/>
    <w:rsid w:val="00E6298F"/>
    <w:rsid w:val="00E6303E"/>
    <w:rsid w:val="00E6411C"/>
    <w:rsid w:val="00E654DA"/>
    <w:rsid w:val="00E66F5A"/>
    <w:rsid w:val="00E71E32"/>
    <w:rsid w:val="00E72882"/>
    <w:rsid w:val="00E72F8C"/>
    <w:rsid w:val="00E7742B"/>
    <w:rsid w:val="00E8054B"/>
    <w:rsid w:val="00E83AAF"/>
    <w:rsid w:val="00E8405D"/>
    <w:rsid w:val="00E84268"/>
    <w:rsid w:val="00E867EB"/>
    <w:rsid w:val="00E87BF1"/>
    <w:rsid w:val="00E915CD"/>
    <w:rsid w:val="00E9176D"/>
    <w:rsid w:val="00E94777"/>
    <w:rsid w:val="00E95775"/>
    <w:rsid w:val="00E97602"/>
    <w:rsid w:val="00EA1987"/>
    <w:rsid w:val="00EA2532"/>
    <w:rsid w:val="00EA25F9"/>
    <w:rsid w:val="00EA2E47"/>
    <w:rsid w:val="00EA4C9E"/>
    <w:rsid w:val="00EA71C8"/>
    <w:rsid w:val="00EB1DA0"/>
    <w:rsid w:val="00EB4400"/>
    <w:rsid w:val="00EB4F73"/>
    <w:rsid w:val="00EB5ED3"/>
    <w:rsid w:val="00EC0115"/>
    <w:rsid w:val="00EC06D2"/>
    <w:rsid w:val="00EC07F6"/>
    <w:rsid w:val="00EC0F92"/>
    <w:rsid w:val="00EC2B2C"/>
    <w:rsid w:val="00EC3B57"/>
    <w:rsid w:val="00EC7216"/>
    <w:rsid w:val="00ED0CC8"/>
    <w:rsid w:val="00ED0F2B"/>
    <w:rsid w:val="00ED22F8"/>
    <w:rsid w:val="00ED3C13"/>
    <w:rsid w:val="00ED6FB6"/>
    <w:rsid w:val="00EE1996"/>
    <w:rsid w:val="00EE1A1B"/>
    <w:rsid w:val="00EE2277"/>
    <w:rsid w:val="00EE2306"/>
    <w:rsid w:val="00EE2556"/>
    <w:rsid w:val="00EE2824"/>
    <w:rsid w:val="00EE2B0F"/>
    <w:rsid w:val="00EE3087"/>
    <w:rsid w:val="00EE6C5F"/>
    <w:rsid w:val="00EE7C86"/>
    <w:rsid w:val="00EF0144"/>
    <w:rsid w:val="00EF0F56"/>
    <w:rsid w:val="00EF1E32"/>
    <w:rsid w:val="00EF2C6F"/>
    <w:rsid w:val="00EF2EEF"/>
    <w:rsid w:val="00EF34F5"/>
    <w:rsid w:val="00EF75AA"/>
    <w:rsid w:val="00F023BD"/>
    <w:rsid w:val="00F025B3"/>
    <w:rsid w:val="00F07B85"/>
    <w:rsid w:val="00F07DDC"/>
    <w:rsid w:val="00F15DE8"/>
    <w:rsid w:val="00F165B9"/>
    <w:rsid w:val="00F1701D"/>
    <w:rsid w:val="00F20A85"/>
    <w:rsid w:val="00F20C35"/>
    <w:rsid w:val="00F234C7"/>
    <w:rsid w:val="00F23FF9"/>
    <w:rsid w:val="00F31BA3"/>
    <w:rsid w:val="00F32245"/>
    <w:rsid w:val="00F32905"/>
    <w:rsid w:val="00F3386C"/>
    <w:rsid w:val="00F35DAC"/>
    <w:rsid w:val="00F35FDC"/>
    <w:rsid w:val="00F40696"/>
    <w:rsid w:val="00F40B79"/>
    <w:rsid w:val="00F40E62"/>
    <w:rsid w:val="00F41326"/>
    <w:rsid w:val="00F4431E"/>
    <w:rsid w:val="00F50CB5"/>
    <w:rsid w:val="00F512BD"/>
    <w:rsid w:val="00F5170F"/>
    <w:rsid w:val="00F517B3"/>
    <w:rsid w:val="00F51D20"/>
    <w:rsid w:val="00F51D52"/>
    <w:rsid w:val="00F522E9"/>
    <w:rsid w:val="00F52B3E"/>
    <w:rsid w:val="00F61D96"/>
    <w:rsid w:val="00F61E4E"/>
    <w:rsid w:val="00F63908"/>
    <w:rsid w:val="00F63B66"/>
    <w:rsid w:val="00F64A03"/>
    <w:rsid w:val="00F65764"/>
    <w:rsid w:val="00F723B6"/>
    <w:rsid w:val="00F72DAC"/>
    <w:rsid w:val="00F733DF"/>
    <w:rsid w:val="00F73D17"/>
    <w:rsid w:val="00F7693B"/>
    <w:rsid w:val="00F76FCB"/>
    <w:rsid w:val="00F771F5"/>
    <w:rsid w:val="00F77692"/>
    <w:rsid w:val="00F801D0"/>
    <w:rsid w:val="00F83108"/>
    <w:rsid w:val="00F84FA7"/>
    <w:rsid w:val="00F853F4"/>
    <w:rsid w:val="00F9176A"/>
    <w:rsid w:val="00F918F2"/>
    <w:rsid w:val="00F939A8"/>
    <w:rsid w:val="00F946C8"/>
    <w:rsid w:val="00F95B47"/>
    <w:rsid w:val="00F96272"/>
    <w:rsid w:val="00F9755E"/>
    <w:rsid w:val="00F976FC"/>
    <w:rsid w:val="00FA2DAB"/>
    <w:rsid w:val="00FA6023"/>
    <w:rsid w:val="00FA67C3"/>
    <w:rsid w:val="00FB1F7F"/>
    <w:rsid w:val="00FB2B3E"/>
    <w:rsid w:val="00FB3FEA"/>
    <w:rsid w:val="00FB53ED"/>
    <w:rsid w:val="00FC0C3E"/>
    <w:rsid w:val="00FC1980"/>
    <w:rsid w:val="00FC2822"/>
    <w:rsid w:val="00FC3843"/>
    <w:rsid w:val="00FC4074"/>
    <w:rsid w:val="00FC4AC9"/>
    <w:rsid w:val="00FC52B1"/>
    <w:rsid w:val="00FC5534"/>
    <w:rsid w:val="00FC5841"/>
    <w:rsid w:val="00FD0029"/>
    <w:rsid w:val="00FD0AAF"/>
    <w:rsid w:val="00FD0E0F"/>
    <w:rsid w:val="00FD192D"/>
    <w:rsid w:val="00FD2F54"/>
    <w:rsid w:val="00FD362A"/>
    <w:rsid w:val="00FD47FE"/>
    <w:rsid w:val="00FD629F"/>
    <w:rsid w:val="00FD7935"/>
    <w:rsid w:val="00FE0438"/>
    <w:rsid w:val="00FE1301"/>
    <w:rsid w:val="00FE4E2D"/>
    <w:rsid w:val="00FE669B"/>
    <w:rsid w:val="00FE7BCD"/>
    <w:rsid w:val="00FF1338"/>
    <w:rsid w:val="00FF187D"/>
    <w:rsid w:val="00FF3D56"/>
    <w:rsid w:val="00FF5806"/>
    <w:rsid w:val="00FF5B05"/>
    <w:rsid w:val="010863C4"/>
    <w:rsid w:val="01126110"/>
    <w:rsid w:val="013A6628"/>
    <w:rsid w:val="0150179A"/>
    <w:rsid w:val="01A94327"/>
    <w:rsid w:val="01AC608F"/>
    <w:rsid w:val="01BA31D1"/>
    <w:rsid w:val="01D45536"/>
    <w:rsid w:val="01EB39B0"/>
    <w:rsid w:val="01FF1322"/>
    <w:rsid w:val="024A32AA"/>
    <w:rsid w:val="024F0CC6"/>
    <w:rsid w:val="025C0CD1"/>
    <w:rsid w:val="027B4DDE"/>
    <w:rsid w:val="029A5CC8"/>
    <w:rsid w:val="02A36C09"/>
    <w:rsid w:val="02AE0027"/>
    <w:rsid w:val="02BF1EAA"/>
    <w:rsid w:val="02EA1207"/>
    <w:rsid w:val="02FD0AF9"/>
    <w:rsid w:val="030C2CF8"/>
    <w:rsid w:val="0335413D"/>
    <w:rsid w:val="03415113"/>
    <w:rsid w:val="03415867"/>
    <w:rsid w:val="0355781B"/>
    <w:rsid w:val="035D5D12"/>
    <w:rsid w:val="036242DE"/>
    <w:rsid w:val="03671F4F"/>
    <w:rsid w:val="038A1961"/>
    <w:rsid w:val="0405669B"/>
    <w:rsid w:val="04420ED3"/>
    <w:rsid w:val="04491256"/>
    <w:rsid w:val="04B4675C"/>
    <w:rsid w:val="04C6726C"/>
    <w:rsid w:val="05061A15"/>
    <w:rsid w:val="050B66F6"/>
    <w:rsid w:val="051429F9"/>
    <w:rsid w:val="054F1226"/>
    <w:rsid w:val="05535440"/>
    <w:rsid w:val="0575116D"/>
    <w:rsid w:val="057C46D9"/>
    <w:rsid w:val="058E586D"/>
    <w:rsid w:val="05AC27E9"/>
    <w:rsid w:val="05C02169"/>
    <w:rsid w:val="05D47448"/>
    <w:rsid w:val="060A20AF"/>
    <w:rsid w:val="06911736"/>
    <w:rsid w:val="06C315D2"/>
    <w:rsid w:val="06CD3FA2"/>
    <w:rsid w:val="06D44A26"/>
    <w:rsid w:val="06EB6B6B"/>
    <w:rsid w:val="0703490E"/>
    <w:rsid w:val="070E07EF"/>
    <w:rsid w:val="07266EEB"/>
    <w:rsid w:val="073555DB"/>
    <w:rsid w:val="073E466C"/>
    <w:rsid w:val="074638E2"/>
    <w:rsid w:val="075D22E7"/>
    <w:rsid w:val="07650B07"/>
    <w:rsid w:val="07740505"/>
    <w:rsid w:val="0782131A"/>
    <w:rsid w:val="07881340"/>
    <w:rsid w:val="078C70BB"/>
    <w:rsid w:val="07994D1A"/>
    <w:rsid w:val="07A36612"/>
    <w:rsid w:val="07AC3C6E"/>
    <w:rsid w:val="07B07875"/>
    <w:rsid w:val="07B420F9"/>
    <w:rsid w:val="07BC2D3F"/>
    <w:rsid w:val="07D719A9"/>
    <w:rsid w:val="07E647F4"/>
    <w:rsid w:val="083D6CB4"/>
    <w:rsid w:val="08456374"/>
    <w:rsid w:val="08631B02"/>
    <w:rsid w:val="08744668"/>
    <w:rsid w:val="087F480F"/>
    <w:rsid w:val="08820EBA"/>
    <w:rsid w:val="089A39EF"/>
    <w:rsid w:val="08B87257"/>
    <w:rsid w:val="08C96B1B"/>
    <w:rsid w:val="08ED6928"/>
    <w:rsid w:val="08F9644D"/>
    <w:rsid w:val="09003B7A"/>
    <w:rsid w:val="093D2AA8"/>
    <w:rsid w:val="093D7158"/>
    <w:rsid w:val="0963012C"/>
    <w:rsid w:val="098D2865"/>
    <w:rsid w:val="09BD3853"/>
    <w:rsid w:val="0A1053D4"/>
    <w:rsid w:val="0A137410"/>
    <w:rsid w:val="0A1D5818"/>
    <w:rsid w:val="0A7470C1"/>
    <w:rsid w:val="0ACE0F32"/>
    <w:rsid w:val="0AEF20EE"/>
    <w:rsid w:val="0AF55929"/>
    <w:rsid w:val="0B2E5911"/>
    <w:rsid w:val="0B4B21EB"/>
    <w:rsid w:val="0B5A3C8F"/>
    <w:rsid w:val="0B8A1208"/>
    <w:rsid w:val="0B9379B9"/>
    <w:rsid w:val="0BB43273"/>
    <w:rsid w:val="0BD73607"/>
    <w:rsid w:val="0BE64B54"/>
    <w:rsid w:val="0C057A79"/>
    <w:rsid w:val="0C1A32AB"/>
    <w:rsid w:val="0C3423D4"/>
    <w:rsid w:val="0C526001"/>
    <w:rsid w:val="0C6A34F9"/>
    <w:rsid w:val="0C7B0460"/>
    <w:rsid w:val="0C8446F5"/>
    <w:rsid w:val="0C8C09C4"/>
    <w:rsid w:val="0CC00E21"/>
    <w:rsid w:val="0CD229CB"/>
    <w:rsid w:val="0CD95330"/>
    <w:rsid w:val="0CDA7016"/>
    <w:rsid w:val="0CDE2BFB"/>
    <w:rsid w:val="0D110799"/>
    <w:rsid w:val="0D130AE4"/>
    <w:rsid w:val="0D2C25AA"/>
    <w:rsid w:val="0D347905"/>
    <w:rsid w:val="0D7B4101"/>
    <w:rsid w:val="0D8C01EA"/>
    <w:rsid w:val="0D993892"/>
    <w:rsid w:val="0DBA0963"/>
    <w:rsid w:val="0DDB0A99"/>
    <w:rsid w:val="0DDF381B"/>
    <w:rsid w:val="0DE94EE5"/>
    <w:rsid w:val="0E18645F"/>
    <w:rsid w:val="0E21757A"/>
    <w:rsid w:val="0E4A3DAF"/>
    <w:rsid w:val="0E4E47ED"/>
    <w:rsid w:val="0E5F0FCB"/>
    <w:rsid w:val="0E965A77"/>
    <w:rsid w:val="0EC455E4"/>
    <w:rsid w:val="0ED71823"/>
    <w:rsid w:val="0F0B5C37"/>
    <w:rsid w:val="0F1956FF"/>
    <w:rsid w:val="0F255419"/>
    <w:rsid w:val="0F4B5132"/>
    <w:rsid w:val="0F691C8B"/>
    <w:rsid w:val="0FE77173"/>
    <w:rsid w:val="0FF04D41"/>
    <w:rsid w:val="102576E3"/>
    <w:rsid w:val="10855685"/>
    <w:rsid w:val="10A72F02"/>
    <w:rsid w:val="10F86BCC"/>
    <w:rsid w:val="10F875E0"/>
    <w:rsid w:val="113F1376"/>
    <w:rsid w:val="11413994"/>
    <w:rsid w:val="11740997"/>
    <w:rsid w:val="117A259E"/>
    <w:rsid w:val="11E46C2B"/>
    <w:rsid w:val="1229607A"/>
    <w:rsid w:val="12362682"/>
    <w:rsid w:val="12642DA4"/>
    <w:rsid w:val="12752450"/>
    <w:rsid w:val="12D5119C"/>
    <w:rsid w:val="12EF3EC9"/>
    <w:rsid w:val="132C6919"/>
    <w:rsid w:val="137429DD"/>
    <w:rsid w:val="138852A1"/>
    <w:rsid w:val="138959C5"/>
    <w:rsid w:val="13AB02CB"/>
    <w:rsid w:val="14352985"/>
    <w:rsid w:val="143B6DDD"/>
    <w:rsid w:val="1466784F"/>
    <w:rsid w:val="147C79C3"/>
    <w:rsid w:val="149A4468"/>
    <w:rsid w:val="14B3575B"/>
    <w:rsid w:val="14C97350"/>
    <w:rsid w:val="15163183"/>
    <w:rsid w:val="151A045A"/>
    <w:rsid w:val="154428C4"/>
    <w:rsid w:val="1555506B"/>
    <w:rsid w:val="15631028"/>
    <w:rsid w:val="1573293C"/>
    <w:rsid w:val="15F93C25"/>
    <w:rsid w:val="16081173"/>
    <w:rsid w:val="16147124"/>
    <w:rsid w:val="162903E9"/>
    <w:rsid w:val="16380FC0"/>
    <w:rsid w:val="164D376D"/>
    <w:rsid w:val="16592E10"/>
    <w:rsid w:val="166F227A"/>
    <w:rsid w:val="168001CC"/>
    <w:rsid w:val="16866D90"/>
    <w:rsid w:val="168A7C2D"/>
    <w:rsid w:val="169D4B51"/>
    <w:rsid w:val="16A91A9D"/>
    <w:rsid w:val="16BF6AEC"/>
    <w:rsid w:val="16EC4406"/>
    <w:rsid w:val="170116DE"/>
    <w:rsid w:val="170117A3"/>
    <w:rsid w:val="170973D7"/>
    <w:rsid w:val="17180E04"/>
    <w:rsid w:val="17256343"/>
    <w:rsid w:val="17335201"/>
    <w:rsid w:val="17626773"/>
    <w:rsid w:val="17A061B3"/>
    <w:rsid w:val="17AC62D7"/>
    <w:rsid w:val="18337FB7"/>
    <w:rsid w:val="18395D6C"/>
    <w:rsid w:val="18494E2C"/>
    <w:rsid w:val="18547D93"/>
    <w:rsid w:val="186847B4"/>
    <w:rsid w:val="189A2875"/>
    <w:rsid w:val="189A631B"/>
    <w:rsid w:val="18A10BD8"/>
    <w:rsid w:val="18AF0E3A"/>
    <w:rsid w:val="18B91475"/>
    <w:rsid w:val="18EA6005"/>
    <w:rsid w:val="18FF226E"/>
    <w:rsid w:val="190B3684"/>
    <w:rsid w:val="193C3F97"/>
    <w:rsid w:val="19502D1D"/>
    <w:rsid w:val="19597448"/>
    <w:rsid w:val="19811102"/>
    <w:rsid w:val="199843C1"/>
    <w:rsid w:val="19B93CA1"/>
    <w:rsid w:val="19BA1EA7"/>
    <w:rsid w:val="1A2A6726"/>
    <w:rsid w:val="1A3E61E8"/>
    <w:rsid w:val="1A606D71"/>
    <w:rsid w:val="1AEB5F3D"/>
    <w:rsid w:val="1B075434"/>
    <w:rsid w:val="1B0D6029"/>
    <w:rsid w:val="1C0C22A0"/>
    <w:rsid w:val="1C2F76FE"/>
    <w:rsid w:val="1C432097"/>
    <w:rsid w:val="1C503DAA"/>
    <w:rsid w:val="1C5906C9"/>
    <w:rsid w:val="1C5D5717"/>
    <w:rsid w:val="1C64566F"/>
    <w:rsid w:val="1C687487"/>
    <w:rsid w:val="1CB45F30"/>
    <w:rsid w:val="1CCA4945"/>
    <w:rsid w:val="1D432562"/>
    <w:rsid w:val="1D541723"/>
    <w:rsid w:val="1D56144A"/>
    <w:rsid w:val="1DA85A61"/>
    <w:rsid w:val="1DAB7506"/>
    <w:rsid w:val="1DAE31F9"/>
    <w:rsid w:val="1DBE26B5"/>
    <w:rsid w:val="1DE61CDD"/>
    <w:rsid w:val="1E1F2BB3"/>
    <w:rsid w:val="1E4920CA"/>
    <w:rsid w:val="1E4D6BA5"/>
    <w:rsid w:val="1E692694"/>
    <w:rsid w:val="1E9132A2"/>
    <w:rsid w:val="1E97102D"/>
    <w:rsid w:val="1EB56512"/>
    <w:rsid w:val="1EC06362"/>
    <w:rsid w:val="1EC248E4"/>
    <w:rsid w:val="1EDF47DC"/>
    <w:rsid w:val="1EEA2148"/>
    <w:rsid w:val="1EF6799E"/>
    <w:rsid w:val="1F2F42D1"/>
    <w:rsid w:val="1F355DC2"/>
    <w:rsid w:val="1F3774E0"/>
    <w:rsid w:val="1F410E1A"/>
    <w:rsid w:val="1F4B298E"/>
    <w:rsid w:val="1F526BE6"/>
    <w:rsid w:val="1F5C69AF"/>
    <w:rsid w:val="1F864A3A"/>
    <w:rsid w:val="1FC76E9C"/>
    <w:rsid w:val="1FE54432"/>
    <w:rsid w:val="1FE7109D"/>
    <w:rsid w:val="200F4B80"/>
    <w:rsid w:val="20111711"/>
    <w:rsid w:val="20456F63"/>
    <w:rsid w:val="204F2A47"/>
    <w:rsid w:val="206519AB"/>
    <w:rsid w:val="20886ABD"/>
    <w:rsid w:val="209A4BE9"/>
    <w:rsid w:val="20AC03A4"/>
    <w:rsid w:val="20BA30B3"/>
    <w:rsid w:val="20BA3F74"/>
    <w:rsid w:val="20BF5CEF"/>
    <w:rsid w:val="20BF5D8A"/>
    <w:rsid w:val="20C15B52"/>
    <w:rsid w:val="20D0079F"/>
    <w:rsid w:val="20EF106E"/>
    <w:rsid w:val="21090A07"/>
    <w:rsid w:val="2141510B"/>
    <w:rsid w:val="2149616A"/>
    <w:rsid w:val="215F41C9"/>
    <w:rsid w:val="216D024C"/>
    <w:rsid w:val="216F5B09"/>
    <w:rsid w:val="21C6291E"/>
    <w:rsid w:val="21E416E7"/>
    <w:rsid w:val="21FB16CB"/>
    <w:rsid w:val="2202371F"/>
    <w:rsid w:val="22194B54"/>
    <w:rsid w:val="22667794"/>
    <w:rsid w:val="226D7C60"/>
    <w:rsid w:val="226F59E4"/>
    <w:rsid w:val="22861CEE"/>
    <w:rsid w:val="22A40916"/>
    <w:rsid w:val="22C04CC4"/>
    <w:rsid w:val="22C463D3"/>
    <w:rsid w:val="22DA3216"/>
    <w:rsid w:val="22E40DC5"/>
    <w:rsid w:val="23030F58"/>
    <w:rsid w:val="230455E3"/>
    <w:rsid w:val="23480891"/>
    <w:rsid w:val="2369414A"/>
    <w:rsid w:val="236F19C3"/>
    <w:rsid w:val="23702992"/>
    <w:rsid w:val="23754256"/>
    <w:rsid w:val="23853E3F"/>
    <w:rsid w:val="239740CD"/>
    <w:rsid w:val="23C41E09"/>
    <w:rsid w:val="23FD7811"/>
    <w:rsid w:val="24356808"/>
    <w:rsid w:val="2459457A"/>
    <w:rsid w:val="24632C1A"/>
    <w:rsid w:val="24984D50"/>
    <w:rsid w:val="249B6236"/>
    <w:rsid w:val="249D00A1"/>
    <w:rsid w:val="24C53A6A"/>
    <w:rsid w:val="24D645AE"/>
    <w:rsid w:val="25013100"/>
    <w:rsid w:val="25072341"/>
    <w:rsid w:val="253872C0"/>
    <w:rsid w:val="25584C6D"/>
    <w:rsid w:val="25667F11"/>
    <w:rsid w:val="257541CD"/>
    <w:rsid w:val="25927C29"/>
    <w:rsid w:val="25B14928"/>
    <w:rsid w:val="25C71362"/>
    <w:rsid w:val="25D01C72"/>
    <w:rsid w:val="25DB0022"/>
    <w:rsid w:val="25F10B2A"/>
    <w:rsid w:val="260B7AE9"/>
    <w:rsid w:val="261C1046"/>
    <w:rsid w:val="26265A06"/>
    <w:rsid w:val="26685B39"/>
    <w:rsid w:val="26914B66"/>
    <w:rsid w:val="26D766CC"/>
    <w:rsid w:val="26D85766"/>
    <w:rsid w:val="26E41C5D"/>
    <w:rsid w:val="26F51A3B"/>
    <w:rsid w:val="27627E8F"/>
    <w:rsid w:val="2770235C"/>
    <w:rsid w:val="27CF6870"/>
    <w:rsid w:val="27DE5CD6"/>
    <w:rsid w:val="27E21168"/>
    <w:rsid w:val="27E31DC2"/>
    <w:rsid w:val="27ED074F"/>
    <w:rsid w:val="27F07995"/>
    <w:rsid w:val="28110377"/>
    <w:rsid w:val="283907AC"/>
    <w:rsid w:val="28570D7D"/>
    <w:rsid w:val="28701D13"/>
    <w:rsid w:val="287B3433"/>
    <w:rsid w:val="28B15748"/>
    <w:rsid w:val="28BB715D"/>
    <w:rsid w:val="29136385"/>
    <w:rsid w:val="29225BA4"/>
    <w:rsid w:val="29434DA6"/>
    <w:rsid w:val="29445276"/>
    <w:rsid w:val="294947A8"/>
    <w:rsid w:val="29544EF2"/>
    <w:rsid w:val="29567EF7"/>
    <w:rsid w:val="295E4667"/>
    <w:rsid w:val="297159E4"/>
    <w:rsid w:val="297527FD"/>
    <w:rsid w:val="29A568D8"/>
    <w:rsid w:val="29BA4104"/>
    <w:rsid w:val="29DE16F5"/>
    <w:rsid w:val="29E5506B"/>
    <w:rsid w:val="29F7348E"/>
    <w:rsid w:val="2A0F51B3"/>
    <w:rsid w:val="2A287CD1"/>
    <w:rsid w:val="2A33377C"/>
    <w:rsid w:val="2A4F34A5"/>
    <w:rsid w:val="2A777736"/>
    <w:rsid w:val="2A80003E"/>
    <w:rsid w:val="2A840D3B"/>
    <w:rsid w:val="2A860282"/>
    <w:rsid w:val="2A93172B"/>
    <w:rsid w:val="2A9C36C4"/>
    <w:rsid w:val="2ACE472A"/>
    <w:rsid w:val="2ADE690E"/>
    <w:rsid w:val="2B173B3C"/>
    <w:rsid w:val="2B2362F0"/>
    <w:rsid w:val="2B6778C7"/>
    <w:rsid w:val="2B806FA5"/>
    <w:rsid w:val="2BA31BF3"/>
    <w:rsid w:val="2BC066CF"/>
    <w:rsid w:val="2BC36599"/>
    <w:rsid w:val="2BCC55D3"/>
    <w:rsid w:val="2BD30CA0"/>
    <w:rsid w:val="2BD93691"/>
    <w:rsid w:val="2BED1471"/>
    <w:rsid w:val="2BF03718"/>
    <w:rsid w:val="2BFD0A0A"/>
    <w:rsid w:val="2BFE21F2"/>
    <w:rsid w:val="2C2910EE"/>
    <w:rsid w:val="2C2B0228"/>
    <w:rsid w:val="2C58268E"/>
    <w:rsid w:val="2C7E2082"/>
    <w:rsid w:val="2C927991"/>
    <w:rsid w:val="2CDF5C10"/>
    <w:rsid w:val="2D013864"/>
    <w:rsid w:val="2D1C34D4"/>
    <w:rsid w:val="2D2A213C"/>
    <w:rsid w:val="2D2F56E0"/>
    <w:rsid w:val="2D3B5536"/>
    <w:rsid w:val="2D694AE7"/>
    <w:rsid w:val="2D760191"/>
    <w:rsid w:val="2DB023C6"/>
    <w:rsid w:val="2DC75F7B"/>
    <w:rsid w:val="2DDB6EEE"/>
    <w:rsid w:val="2DE15DAC"/>
    <w:rsid w:val="2DE844CB"/>
    <w:rsid w:val="2E040E15"/>
    <w:rsid w:val="2E0E7DAF"/>
    <w:rsid w:val="2E17205E"/>
    <w:rsid w:val="2E532404"/>
    <w:rsid w:val="2E797890"/>
    <w:rsid w:val="2E8A6EC1"/>
    <w:rsid w:val="2E9C4111"/>
    <w:rsid w:val="2E9D6C0F"/>
    <w:rsid w:val="2EBB3702"/>
    <w:rsid w:val="2ED641D6"/>
    <w:rsid w:val="2F0D495D"/>
    <w:rsid w:val="2F341E7A"/>
    <w:rsid w:val="2F401CC2"/>
    <w:rsid w:val="2F9C3CB8"/>
    <w:rsid w:val="2FBE22EC"/>
    <w:rsid w:val="2FBF6FB6"/>
    <w:rsid w:val="2FF76176"/>
    <w:rsid w:val="300013A4"/>
    <w:rsid w:val="30383197"/>
    <w:rsid w:val="30390DA5"/>
    <w:rsid w:val="30597EF6"/>
    <w:rsid w:val="306B2D89"/>
    <w:rsid w:val="307E5CA5"/>
    <w:rsid w:val="308347E0"/>
    <w:rsid w:val="309462A4"/>
    <w:rsid w:val="30A94F54"/>
    <w:rsid w:val="30AB2034"/>
    <w:rsid w:val="30C31F04"/>
    <w:rsid w:val="30D12DEF"/>
    <w:rsid w:val="30EA557F"/>
    <w:rsid w:val="31226EA1"/>
    <w:rsid w:val="3134120D"/>
    <w:rsid w:val="31603FD5"/>
    <w:rsid w:val="31714664"/>
    <w:rsid w:val="319D4218"/>
    <w:rsid w:val="31AC4529"/>
    <w:rsid w:val="31B72914"/>
    <w:rsid w:val="31D41EBE"/>
    <w:rsid w:val="31D71387"/>
    <w:rsid w:val="31F40424"/>
    <w:rsid w:val="32513B1B"/>
    <w:rsid w:val="32583AC9"/>
    <w:rsid w:val="325E3800"/>
    <w:rsid w:val="327B7243"/>
    <w:rsid w:val="32984E3C"/>
    <w:rsid w:val="32A32629"/>
    <w:rsid w:val="32AF7A07"/>
    <w:rsid w:val="32B02B46"/>
    <w:rsid w:val="32D26679"/>
    <w:rsid w:val="32DA6414"/>
    <w:rsid w:val="32DB257A"/>
    <w:rsid w:val="32ED58D5"/>
    <w:rsid w:val="33230611"/>
    <w:rsid w:val="33250CD3"/>
    <w:rsid w:val="33304EE7"/>
    <w:rsid w:val="336527FD"/>
    <w:rsid w:val="337163DC"/>
    <w:rsid w:val="338F6BBA"/>
    <w:rsid w:val="33AC20AB"/>
    <w:rsid w:val="33B9089F"/>
    <w:rsid w:val="33BB6E9C"/>
    <w:rsid w:val="33BD07DB"/>
    <w:rsid w:val="33D530A6"/>
    <w:rsid w:val="33EE5F53"/>
    <w:rsid w:val="341720A4"/>
    <w:rsid w:val="344F5538"/>
    <w:rsid w:val="345C49EB"/>
    <w:rsid w:val="34B53D0A"/>
    <w:rsid w:val="34C00F54"/>
    <w:rsid w:val="35A943A0"/>
    <w:rsid w:val="35F425A5"/>
    <w:rsid w:val="35FB79DE"/>
    <w:rsid w:val="361B3628"/>
    <w:rsid w:val="361F1E0D"/>
    <w:rsid w:val="362A1A9E"/>
    <w:rsid w:val="36346496"/>
    <w:rsid w:val="364146BC"/>
    <w:rsid w:val="3678604F"/>
    <w:rsid w:val="36AA7FFD"/>
    <w:rsid w:val="36B65852"/>
    <w:rsid w:val="36C10E5E"/>
    <w:rsid w:val="36E91E49"/>
    <w:rsid w:val="371B1FB3"/>
    <w:rsid w:val="371F6DCD"/>
    <w:rsid w:val="375630F8"/>
    <w:rsid w:val="3762314D"/>
    <w:rsid w:val="3793059E"/>
    <w:rsid w:val="37E673CE"/>
    <w:rsid w:val="38020FBA"/>
    <w:rsid w:val="3817647F"/>
    <w:rsid w:val="38486D16"/>
    <w:rsid w:val="388922E3"/>
    <w:rsid w:val="38B86EF4"/>
    <w:rsid w:val="38BF023D"/>
    <w:rsid w:val="38D90F52"/>
    <w:rsid w:val="39053839"/>
    <w:rsid w:val="39BE73D3"/>
    <w:rsid w:val="39F77539"/>
    <w:rsid w:val="39FF439C"/>
    <w:rsid w:val="3A1221F0"/>
    <w:rsid w:val="3A474261"/>
    <w:rsid w:val="3AE82ED7"/>
    <w:rsid w:val="3AF349E1"/>
    <w:rsid w:val="3AF36087"/>
    <w:rsid w:val="3AFD34E1"/>
    <w:rsid w:val="3B001C84"/>
    <w:rsid w:val="3B5D1D3A"/>
    <w:rsid w:val="3B992E85"/>
    <w:rsid w:val="3BA675B7"/>
    <w:rsid w:val="3BA922DF"/>
    <w:rsid w:val="3BA9271D"/>
    <w:rsid w:val="3BAA5E33"/>
    <w:rsid w:val="3C0534D3"/>
    <w:rsid w:val="3C2644FC"/>
    <w:rsid w:val="3C42638F"/>
    <w:rsid w:val="3CB1321A"/>
    <w:rsid w:val="3CD710DB"/>
    <w:rsid w:val="3CD8748C"/>
    <w:rsid w:val="3CF907AA"/>
    <w:rsid w:val="3D174A4C"/>
    <w:rsid w:val="3D436383"/>
    <w:rsid w:val="3D59715D"/>
    <w:rsid w:val="3D8E16F8"/>
    <w:rsid w:val="3DBD109B"/>
    <w:rsid w:val="3E557449"/>
    <w:rsid w:val="3E601F6F"/>
    <w:rsid w:val="3E670564"/>
    <w:rsid w:val="3E782EC8"/>
    <w:rsid w:val="3E9A256A"/>
    <w:rsid w:val="3EA85019"/>
    <w:rsid w:val="3EAE5571"/>
    <w:rsid w:val="3EE70D75"/>
    <w:rsid w:val="3F36026D"/>
    <w:rsid w:val="3F442C5C"/>
    <w:rsid w:val="3F850ED5"/>
    <w:rsid w:val="3FBD71B8"/>
    <w:rsid w:val="3FEF380D"/>
    <w:rsid w:val="40030815"/>
    <w:rsid w:val="400406F5"/>
    <w:rsid w:val="400D7ECF"/>
    <w:rsid w:val="400F236D"/>
    <w:rsid w:val="401107D6"/>
    <w:rsid w:val="401C6621"/>
    <w:rsid w:val="403F6EDA"/>
    <w:rsid w:val="404E4D9C"/>
    <w:rsid w:val="406F7719"/>
    <w:rsid w:val="40C63830"/>
    <w:rsid w:val="40D552B2"/>
    <w:rsid w:val="41152FFA"/>
    <w:rsid w:val="41250961"/>
    <w:rsid w:val="414C5C96"/>
    <w:rsid w:val="416F37B2"/>
    <w:rsid w:val="419456E4"/>
    <w:rsid w:val="41D575B5"/>
    <w:rsid w:val="41F102FC"/>
    <w:rsid w:val="41F57CFB"/>
    <w:rsid w:val="41FA1A89"/>
    <w:rsid w:val="420E15C1"/>
    <w:rsid w:val="422D0A1F"/>
    <w:rsid w:val="4255575A"/>
    <w:rsid w:val="426F6B51"/>
    <w:rsid w:val="42735FB2"/>
    <w:rsid w:val="428F1CBF"/>
    <w:rsid w:val="429F5055"/>
    <w:rsid w:val="42CE316D"/>
    <w:rsid w:val="42D647B1"/>
    <w:rsid w:val="42F57F7F"/>
    <w:rsid w:val="43293016"/>
    <w:rsid w:val="43887AA2"/>
    <w:rsid w:val="43957281"/>
    <w:rsid w:val="43C40756"/>
    <w:rsid w:val="43C85243"/>
    <w:rsid w:val="43CF7886"/>
    <w:rsid w:val="43E4262C"/>
    <w:rsid w:val="43FB5864"/>
    <w:rsid w:val="43FE44CE"/>
    <w:rsid w:val="440D56E1"/>
    <w:rsid w:val="44562348"/>
    <w:rsid w:val="44A40D4F"/>
    <w:rsid w:val="44B74207"/>
    <w:rsid w:val="44BD06C9"/>
    <w:rsid w:val="44C55141"/>
    <w:rsid w:val="44CE3915"/>
    <w:rsid w:val="44FA7F38"/>
    <w:rsid w:val="450E5F15"/>
    <w:rsid w:val="45565F0B"/>
    <w:rsid w:val="456D7162"/>
    <w:rsid w:val="45A70BD9"/>
    <w:rsid w:val="45C10179"/>
    <w:rsid w:val="46163659"/>
    <w:rsid w:val="461B4FED"/>
    <w:rsid w:val="46224306"/>
    <w:rsid w:val="46507AE6"/>
    <w:rsid w:val="46843B78"/>
    <w:rsid w:val="46E8443B"/>
    <w:rsid w:val="46EC1AB5"/>
    <w:rsid w:val="46F5444D"/>
    <w:rsid w:val="47064D7A"/>
    <w:rsid w:val="4732683D"/>
    <w:rsid w:val="4733668E"/>
    <w:rsid w:val="47596F5D"/>
    <w:rsid w:val="475A06BB"/>
    <w:rsid w:val="477913A2"/>
    <w:rsid w:val="479413D4"/>
    <w:rsid w:val="47A32A2F"/>
    <w:rsid w:val="47B05DAB"/>
    <w:rsid w:val="480468D7"/>
    <w:rsid w:val="480E08F1"/>
    <w:rsid w:val="48144BBD"/>
    <w:rsid w:val="482236B6"/>
    <w:rsid w:val="482D6988"/>
    <w:rsid w:val="486E1EA8"/>
    <w:rsid w:val="487861BB"/>
    <w:rsid w:val="48821A41"/>
    <w:rsid w:val="489913AB"/>
    <w:rsid w:val="48D51BFB"/>
    <w:rsid w:val="4904592D"/>
    <w:rsid w:val="490B206E"/>
    <w:rsid w:val="49431DBD"/>
    <w:rsid w:val="49461F70"/>
    <w:rsid w:val="49607CE3"/>
    <w:rsid w:val="49744AE1"/>
    <w:rsid w:val="49AB35D4"/>
    <w:rsid w:val="4A22787F"/>
    <w:rsid w:val="4A4A6A0A"/>
    <w:rsid w:val="4A4E0EF6"/>
    <w:rsid w:val="4A89278D"/>
    <w:rsid w:val="4A952302"/>
    <w:rsid w:val="4AA74E35"/>
    <w:rsid w:val="4AAF0F77"/>
    <w:rsid w:val="4AC71D97"/>
    <w:rsid w:val="4AE23653"/>
    <w:rsid w:val="4AEA691A"/>
    <w:rsid w:val="4AF94F36"/>
    <w:rsid w:val="4B021535"/>
    <w:rsid w:val="4B1C38F0"/>
    <w:rsid w:val="4B316A6D"/>
    <w:rsid w:val="4B6A7ECF"/>
    <w:rsid w:val="4BA7142C"/>
    <w:rsid w:val="4BB422EB"/>
    <w:rsid w:val="4BBA763A"/>
    <w:rsid w:val="4BC37F5C"/>
    <w:rsid w:val="4BCD3450"/>
    <w:rsid w:val="4BD617C9"/>
    <w:rsid w:val="4BDB208D"/>
    <w:rsid w:val="4BF9130B"/>
    <w:rsid w:val="4C2C0351"/>
    <w:rsid w:val="4C4B06D6"/>
    <w:rsid w:val="4C6161C6"/>
    <w:rsid w:val="4C7C164F"/>
    <w:rsid w:val="4C9E4A30"/>
    <w:rsid w:val="4CAD6CF2"/>
    <w:rsid w:val="4CB53FD0"/>
    <w:rsid w:val="4CCC677B"/>
    <w:rsid w:val="4CCF751F"/>
    <w:rsid w:val="4CD878F7"/>
    <w:rsid w:val="4CE409AD"/>
    <w:rsid w:val="4CEB7E07"/>
    <w:rsid w:val="4CF47178"/>
    <w:rsid w:val="4D2B0B4F"/>
    <w:rsid w:val="4D74175A"/>
    <w:rsid w:val="4D874A1D"/>
    <w:rsid w:val="4D8F45FF"/>
    <w:rsid w:val="4DC32DBF"/>
    <w:rsid w:val="4E1F00CB"/>
    <w:rsid w:val="4E2C483C"/>
    <w:rsid w:val="4E2E58D7"/>
    <w:rsid w:val="4EAB4BC8"/>
    <w:rsid w:val="4EDB2FE7"/>
    <w:rsid w:val="4F044E70"/>
    <w:rsid w:val="4F0867E3"/>
    <w:rsid w:val="4F1214AD"/>
    <w:rsid w:val="4F1A0A19"/>
    <w:rsid w:val="4F3406D2"/>
    <w:rsid w:val="4F3F4F56"/>
    <w:rsid w:val="4F403AFA"/>
    <w:rsid w:val="4F75192B"/>
    <w:rsid w:val="4F7D20F9"/>
    <w:rsid w:val="4F9245C5"/>
    <w:rsid w:val="4F9C5D6D"/>
    <w:rsid w:val="4FAF77D0"/>
    <w:rsid w:val="4FBC6E28"/>
    <w:rsid w:val="4FBD3597"/>
    <w:rsid w:val="4FEA31D9"/>
    <w:rsid w:val="4FF926F6"/>
    <w:rsid w:val="501D4612"/>
    <w:rsid w:val="502A3BCB"/>
    <w:rsid w:val="504666A2"/>
    <w:rsid w:val="507D31AB"/>
    <w:rsid w:val="50AF52A0"/>
    <w:rsid w:val="50E86EA8"/>
    <w:rsid w:val="50F41C3A"/>
    <w:rsid w:val="515E3BBC"/>
    <w:rsid w:val="51616E45"/>
    <w:rsid w:val="518A0B4B"/>
    <w:rsid w:val="518C1C4B"/>
    <w:rsid w:val="52201F38"/>
    <w:rsid w:val="5237500B"/>
    <w:rsid w:val="52396BE9"/>
    <w:rsid w:val="52513140"/>
    <w:rsid w:val="52B70D01"/>
    <w:rsid w:val="52D55E43"/>
    <w:rsid w:val="52D57E71"/>
    <w:rsid w:val="5326516F"/>
    <w:rsid w:val="53683E4E"/>
    <w:rsid w:val="53767981"/>
    <w:rsid w:val="538542CB"/>
    <w:rsid w:val="53922EAD"/>
    <w:rsid w:val="53ED6A2E"/>
    <w:rsid w:val="541A703B"/>
    <w:rsid w:val="5431090E"/>
    <w:rsid w:val="54675566"/>
    <w:rsid w:val="54C70442"/>
    <w:rsid w:val="54D14702"/>
    <w:rsid w:val="54E43DB1"/>
    <w:rsid w:val="5526583C"/>
    <w:rsid w:val="553E0251"/>
    <w:rsid w:val="556479B9"/>
    <w:rsid w:val="55A96B62"/>
    <w:rsid w:val="55D260A4"/>
    <w:rsid w:val="55DC2289"/>
    <w:rsid w:val="55E16A31"/>
    <w:rsid w:val="55FD4001"/>
    <w:rsid w:val="561D5C87"/>
    <w:rsid w:val="56656C7A"/>
    <w:rsid w:val="56665483"/>
    <w:rsid w:val="56752010"/>
    <w:rsid w:val="567C1835"/>
    <w:rsid w:val="567F24F1"/>
    <w:rsid w:val="56837FE9"/>
    <w:rsid w:val="568C6181"/>
    <w:rsid w:val="570F70A1"/>
    <w:rsid w:val="57253B1C"/>
    <w:rsid w:val="573A7A94"/>
    <w:rsid w:val="575C1A08"/>
    <w:rsid w:val="576D0894"/>
    <w:rsid w:val="57797BB2"/>
    <w:rsid w:val="579B4629"/>
    <w:rsid w:val="57A264FF"/>
    <w:rsid w:val="57F276D3"/>
    <w:rsid w:val="57F80B02"/>
    <w:rsid w:val="580553FA"/>
    <w:rsid w:val="5826070C"/>
    <w:rsid w:val="58305559"/>
    <w:rsid w:val="583E0C03"/>
    <w:rsid w:val="58474E35"/>
    <w:rsid w:val="58504D06"/>
    <w:rsid w:val="585B3F8A"/>
    <w:rsid w:val="586D0347"/>
    <w:rsid w:val="58796DDC"/>
    <w:rsid w:val="587E650E"/>
    <w:rsid w:val="58852E40"/>
    <w:rsid w:val="58D1303F"/>
    <w:rsid w:val="58EF3152"/>
    <w:rsid w:val="58F27DEE"/>
    <w:rsid w:val="58F820D0"/>
    <w:rsid w:val="59250A54"/>
    <w:rsid w:val="59266DC1"/>
    <w:rsid w:val="596A206C"/>
    <w:rsid w:val="59847FC4"/>
    <w:rsid w:val="599A39F9"/>
    <w:rsid w:val="599F6C87"/>
    <w:rsid w:val="59D01380"/>
    <w:rsid w:val="5A0423FF"/>
    <w:rsid w:val="5A0A0564"/>
    <w:rsid w:val="5A2C55C9"/>
    <w:rsid w:val="5A6A2564"/>
    <w:rsid w:val="5A955389"/>
    <w:rsid w:val="5AAD6AFC"/>
    <w:rsid w:val="5AB47C6B"/>
    <w:rsid w:val="5AD42475"/>
    <w:rsid w:val="5AE16ABD"/>
    <w:rsid w:val="5AE73891"/>
    <w:rsid w:val="5AE944A7"/>
    <w:rsid w:val="5AEB071A"/>
    <w:rsid w:val="5BA557CB"/>
    <w:rsid w:val="5BB45C45"/>
    <w:rsid w:val="5BBE337E"/>
    <w:rsid w:val="5C351551"/>
    <w:rsid w:val="5C367103"/>
    <w:rsid w:val="5C591EA2"/>
    <w:rsid w:val="5C733B85"/>
    <w:rsid w:val="5C932E23"/>
    <w:rsid w:val="5C941B61"/>
    <w:rsid w:val="5C9C1124"/>
    <w:rsid w:val="5CBD56A9"/>
    <w:rsid w:val="5CEB23C0"/>
    <w:rsid w:val="5D085801"/>
    <w:rsid w:val="5D14245C"/>
    <w:rsid w:val="5D306EA1"/>
    <w:rsid w:val="5D3932E7"/>
    <w:rsid w:val="5D3B43B2"/>
    <w:rsid w:val="5D455D68"/>
    <w:rsid w:val="5D626AD9"/>
    <w:rsid w:val="5DC27961"/>
    <w:rsid w:val="5DE25259"/>
    <w:rsid w:val="5DF81ABE"/>
    <w:rsid w:val="5DF87795"/>
    <w:rsid w:val="5E021DB5"/>
    <w:rsid w:val="5E3A6576"/>
    <w:rsid w:val="5E552E45"/>
    <w:rsid w:val="5E5B62CD"/>
    <w:rsid w:val="5E600167"/>
    <w:rsid w:val="5E8B49AB"/>
    <w:rsid w:val="5E996A98"/>
    <w:rsid w:val="5EDC2697"/>
    <w:rsid w:val="5EE600CE"/>
    <w:rsid w:val="5EEA160B"/>
    <w:rsid w:val="5F0127CC"/>
    <w:rsid w:val="5F04368D"/>
    <w:rsid w:val="5F877D78"/>
    <w:rsid w:val="5FDB2B25"/>
    <w:rsid w:val="5FE73B3A"/>
    <w:rsid w:val="600E79F5"/>
    <w:rsid w:val="60205A00"/>
    <w:rsid w:val="60907B9C"/>
    <w:rsid w:val="609707EC"/>
    <w:rsid w:val="60A70A33"/>
    <w:rsid w:val="60BC1845"/>
    <w:rsid w:val="60BF7E84"/>
    <w:rsid w:val="60C116EB"/>
    <w:rsid w:val="60C80D1F"/>
    <w:rsid w:val="60E71119"/>
    <w:rsid w:val="612F507F"/>
    <w:rsid w:val="613F5495"/>
    <w:rsid w:val="61702BFC"/>
    <w:rsid w:val="61843F0A"/>
    <w:rsid w:val="619361BA"/>
    <w:rsid w:val="61A1124F"/>
    <w:rsid w:val="61B851F7"/>
    <w:rsid w:val="61C441C7"/>
    <w:rsid w:val="61C55629"/>
    <w:rsid w:val="624B53E1"/>
    <w:rsid w:val="62561E67"/>
    <w:rsid w:val="627B7C90"/>
    <w:rsid w:val="629D6740"/>
    <w:rsid w:val="62D66DA6"/>
    <w:rsid w:val="62E03CB6"/>
    <w:rsid w:val="62E551BF"/>
    <w:rsid w:val="62E86C53"/>
    <w:rsid w:val="632D645F"/>
    <w:rsid w:val="632E4EAA"/>
    <w:rsid w:val="634E58D6"/>
    <w:rsid w:val="6365757F"/>
    <w:rsid w:val="63821C25"/>
    <w:rsid w:val="6383451C"/>
    <w:rsid w:val="638E55AF"/>
    <w:rsid w:val="63E6684D"/>
    <w:rsid w:val="63E72BE8"/>
    <w:rsid w:val="63F23BEA"/>
    <w:rsid w:val="63F67055"/>
    <w:rsid w:val="6404709A"/>
    <w:rsid w:val="640A3135"/>
    <w:rsid w:val="644F4BDF"/>
    <w:rsid w:val="6453307D"/>
    <w:rsid w:val="646C0041"/>
    <w:rsid w:val="64A92FE2"/>
    <w:rsid w:val="64B15611"/>
    <w:rsid w:val="64BC436A"/>
    <w:rsid w:val="65135FDF"/>
    <w:rsid w:val="65223CE2"/>
    <w:rsid w:val="652D41FD"/>
    <w:rsid w:val="65574525"/>
    <w:rsid w:val="658C7CD2"/>
    <w:rsid w:val="65AB02C9"/>
    <w:rsid w:val="65D71771"/>
    <w:rsid w:val="66011640"/>
    <w:rsid w:val="662C0379"/>
    <w:rsid w:val="6650192C"/>
    <w:rsid w:val="666A327D"/>
    <w:rsid w:val="667D4536"/>
    <w:rsid w:val="668A7EEE"/>
    <w:rsid w:val="66901BF6"/>
    <w:rsid w:val="669E68A1"/>
    <w:rsid w:val="66A44C0C"/>
    <w:rsid w:val="66D14E6B"/>
    <w:rsid w:val="66E51EF3"/>
    <w:rsid w:val="672E3383"/>
    <w:rsid w:val="6732509F"/>
    <w:rsid w:val="67435DA5"/>
    <w:rsid w:val="676C5D5B"/>
    <w:rsid w:val="67AD58E2"/>
    <w:rsid w:val="67CD5E2D"/>
    <w:rsid w:val="67CF0576"/>
    <w:rsid w:val="67D818AE"/>
    <w:rsid w:val="67DA2E4B"/>
    <w:rsid w:val="67E07AC6"/>
    <w:rsid w:val="680038B3"/>
    <w:rsid w:val="680F0D11"/>
    <w:rsid w:val="6817578A"/>
    <w:rsid w:val="68305FF9"/>
    <w:rsid w:val="6855083C"/>
    <w:rsid w:val="68647CDA"/>
    <w:rsid w:val="686552C1"/>
    <w:rsid w:val="68891872"/>
    <w:rsid w:val="688F4791"/>
    <w:rsid w:val="68920054"/>
    <w:rsid w:val="68C9246C"/>
    <w:rsid w:val="68FC2C8C"/>
    <w:rsid w:val="6906377C"/>
    <w:rsid w:val="695029B4"/>
    <w:rsid w:val="69531F67"/>
    <w:rsid w:val="699F2C39"/>
    <w:rsid w:val="69A27C78"/>
    <w:rsid w:val="69B0396A"/>
    <w:rsid w:val="69BD6A38"/>
    <w:rsid w:val="69CB11FA"/>
    <w:rsid w:val="69DC7762"/>
    <w:rsid w:val="6A3039E0"/>
    <w:rsid w:val="6A3073D1"/>
    <w:rsid w:val="6A8A3797"/>
    <w:rsid w:val="6A9A3D86"/>
    <w:rsid w:val="6AB64017"/>
    <w:rsid w:val="6AFC05E1"/>
    <w:rsid w:val="6B3C56D3"/>
    <w:rsid w:val="6B4105EC"/>
    <w:rsid w:val="6B760760"/>
    <w:rsid w:val="6B9E4A31"/>
    <w:rsid w:val="6BDB3334"/>
    <w:rsid w:val="6BF12113"/>
    <w:rsid w:val="6C18754A"/>
    <w:rsid w:val="6C283A32"/>
    <w:rsid w:val="6C2E5EC2"/>
    <w:rsid w:val="6C446D6A"/>
    <w:rsid w:val="6C5B6B48"/>
    <w:rsid w:val="6C5F0709"/>
    <w:rsid w:val="6C730CB4"/>
    <w:rsid w:val="6C8F09F5"/>
    <w:rsid w:val="6CD1590F"/>
    <w:rsid w:val="6CE36DA9"/>
    <w:rsid w:val="6D0D1276"/>
    <w:rsid w:val="6D41015D"/>
    <w:rsid w:val="6D7B1414"/>
    <w:rsid w:val="6DC32833"/>
    <w:rsid w:val="6DD4235D"/>
    <w:rsid w:val="6DD9070C"/>
    <w:rsid w:val="6DDD1E75"/>
    <w:rsid w:val="6E191CA1"/>
    <w:rsid w:val="6E1A2AD4"/>
    <w:rsid w:val="6EA069AC"/>
    <w:rsid w:val="6EBF446D"/>
    <w:rsid w:val="6ECB247F"/>
    <w:rsid w:val="6F065E92"/>
    <w:rsid w:val="6F1E3671"/>
    <w:rsid w:val="6F2D32EA"/>
    <w:rsid w:val="6F5D6A3D"/>
    <w:rsid w:val="6F663B3B"/>
    <w:rsid w:val="6F72102E"/>
    <w:rsid w:val="6F7D5787"/>
    <w:rsid w:val="6F8A46E8"/>
    <w:rsid w:val="6F9C6107"/>
    <w:rsid w:val="6FAD29EB"/>
    <w:rsid w:val="6FB03C84"/>
    <w:rsid w:val="6FB4164E"/>
    <w:rsid w:val="6FE71E4F"/>
    <w:rsid w:val="701E2DC7"/>
    <w:rsid w:val="702058D4"/>
    <w:rsid w:val="70327CD9"/>
    <w:rsid w:val="707435E6"/>
    <w:rsid w:val="708A3E2A"/>
    <w:rsid w:val="70B80624"/>
    <w:rsid w:val="70D83388"/>
    <w:rsid w:val="70EE7C77"/>
    <w:rsid w:val="71267FF5"/>
    <w:rsid w:val="71453ADB"/>
    <w:rsid w:val="71584BB0"/>
    <w:rsid w:val="719936D2"/>
    <w:rsid w:val="719A0BF8"/>
    <w:rsid w:val="71C83B0F"/>
    <w:rsid w:val="71CB62C2"/>
    <w:rsid w:val="71D407FB"/>
    <w:rsid w:val="71E632CA"/>
    <w:rsid w:val="71F6312B"/>
    <w:rsid w:val="72376FDE"/>
    <w:rsid w:val="7246445A"/>
    <w:rsid w:val="725F66E7"/>
    <w:rsid w:val="726807E9"/>
    <w:rsid w:val="726957DA"/>
    <w:rsid w:val="727C4743"/>
    <w:rsid w:val="72871E02"/>
    <w:rsid w:val="72877BF3"/>
    <w:rsid w:val="72906591"/>
    <w:rsid w:val="729916DC"/>
    <w:rsid w:val="72A257D1"/>
    <w:rsid w:val="72B54089"/>
    <w:rsid w:val="7336337D"/>
    <w:rsid w:val="734B5FF0"/>
    <w:rsid w:val="735B2B52"/>
    <w:rsid w:val="736D449F"/>
    <w:rsid w:val="73820F2B"/>
    <w:rsid w:val="73825C49"/>
    <w:rsid w:val="73904C9B"/>
    <w:rsid w:val="74326879"/>
    <w:rsid w:val="744C790B"/>
    <w:rsid w:val="746C7B7C"/>
    <w:rsid w:val="749D5170"/>
    <w:rsid w:val="74BA65A2"/>
    <w:rsid w:val="75545B95"/>
    <w:rsid w:val="756905A3"/>
    <w:rsid w:val="75B40499"/>
    <w:rsid w:val="75D77DE1"/>
    <w:rsid w:val="75EE4A0F"/>
    <w:rsid w:val="75EE5502"/>
    <w:rsid w:val="75FD551E"/>
    <w:rsid w:val="7609662A"/>
    <w:rsid w:val="76147852"/>
    <w:rsid w:val="76600A8F"/>
    <w:rsid w:val="76694BB5"/>
    <w:rsid w:val="76996822"/>
    <w:rsid w:val="76B9391F"/>
    <w:rsid w:val="76C039C5"/>
    <w:rsid w:val="76CC4957"/>
    <w:rsid w:val="76EF58B2"/>
    <w:rsid w:val="76FB2BD1"/>
    <w:rsid w:val="77226246"/>
    <w:rsid w:val="7743050A"/>
    <w:rsid w:val="776732AC"/>
    <w:rsid w:val="77B076DB"/>
    <w:rsid w:val="77EA63A2"/>
    <w:rsid w:val="77F7499C"/>
    <w:rsid w:val="780653CE"/>
    <w:rsid w:val="780945A3"/>
    <w:rsid w:val="78126277"/>
    <w:rsid w:val="783E4698"/>
    <w:rsid w:val="78477408"/>
    <w:rsid w:val="78812FFE"/>
    <w:rsid w:val="78BF5C2F"/>
    <w:rsid w:val="78D5739D"/>
    <w:rsid w:val="78E624F8"/>
    <w:rsid w:val="79162979"/>
    <w:rsid w:val="793A3C2B"/>
    <w:rsid w:val="796926B6"/>
    <w:rsid w:val="7A020FF6"/>
    <w:rsid w:val="7A0424DC"/>
    <w:rsid w:val="7A0F766E"/>
    <w:rsid w:val="7A202774"/>
    <w:rsid w:val="7A282A1F"/>
    <w:rsid w:val="7A290B18"/>
    <w:rsid w:val="7A3F1B28"/>
    <w:rsid w:val="7A4B4131"/>
    <w:rsid w:val="7A6B1C4B"/>
    <w:rsid w:val="7A72560D"/>
    <w:rsid w:val="7A767FE0"/>
    <w:rsid w:val="7A8F61A4"/>
    <w:rsid w:val="7A9B616E"/>
    <w:rsid w:val="7A9C2CF0"/>
    <w:rsid w:val="7AEF7AC8"/>
    <w:rsid w:val="7AF44872"/>
    <w:rsid w:val="7AF54C51"/>
    <w:rsid w:val="7B82470D"/>
    <w:rsid w:val="7B9079F3"/>
    <w:rsid w:val="7BB6222A"/>
    <w:rsid w:val="7BD17C5E"/>
    <w:rsid w:val="7BE53976"/>
    <w:rsid w:val="7C106F8A"/>
    <w:rsid w:val="7C2408D4"/>
    <w:rsid w:val="7C407AD5"/>
    <w:rsid w:val="7C432472"/>
    <w:rsid w:val="7C60183D"/>
    <w:rsid w:val="7C67064D"/>
    <w:rsid w:val="7C6E77B1"/>
    <w:rsid w:val="7C6F760F"/>
    <w:rsid w:val="7C856DB1"/>
    <w:rsid w:val="7C8A0B24"/>
    <w:rsid w:val="7C933BEE"/>
    <w:rsid w:val="7C986F1A"/>
    <w:rsid w:val="7CC43B61"/>
    <w:rsid w:val="7CEB6165"/>
    <w:rsid w:val="7CF14AA8"/>
    <w:rsid w:val="7D0F1FF8"/>
    <w:rsid w:val="7D27575E"/>
    <w:rsid w:val="7D442174"/>
    <w:rsid w:val="7D480BFD"/>
    <w:rsid w:val="7D593991"/>
    <w:rsid w:val="7D6C290B"/>
    <w:rsid w:val="7D72036E"/>
    <w:rsid w:val="7D756B6C"/>
    <w:rsid w:val="7D930F16"/>
    <w:rsid w:val="7DC259D1"/>
    <w:rsid w:val="7DF4441A"/>
    <w:rsid w:val="7DF7386E"/>
    <w:rsid w:val="7E67482F"/>
    <w:rsid w:val="7E905ABE"/>
    <w:rsid w:val="7EA20E22"/>
    <w:rsid w:val="7EF52047"/>
    <w:rsid w:val="7F076A02"/>
    <w:rsid w:val="7F4A4F2F"/>
    <w:rsid w:val="7F554888"/>
    <w:rsid w:val="7F9D18FF"/>
    <w:rsid w:val="7FA776AB"/>
    <w:rsid w:val="7FD14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iPriority="99" w:name="footnote text"/>
    <w:lsdException w:unhideWhenUsed="0" w:uiPriority="0" w:semiHidden="0"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nhideWhenUsed="0" w:uiPriority="0" w:semiHidden="0" w:name="Salutation"/>
    <w:lsdException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99" w:semiHidden="0" w:name="Plain Text"/>
    <w:lsdException w:uiPriority="99" w:name="E-mail Signature"/>
    <w:lsdException w:unhideWhenUsed="0" w:uiPriority="0" w:semiHidden="0" w:name="Normal (Web)"/>
    <w:lsdException w:uiPriority="99" w:semiHidden="0" w:name="HTML Acronym"/>
    <w:lsdException w:uiPriority="99" w:name="HTML Address"/>
    <w:lsdException w:qFormat="1" w:uiPriority="99" w:semiHidden="0" w:name="HTML Cite"/>
    <w:lsdException w:uiPriority="99" w:semiHidden="0" w:name="HTML Code"/>
    <w:lsdException w:uiPriority="99" w:semiHidden="0" w:name="HTML Definition"/>
    <w:lsdException w:uiPriority="99" w:semiHidden="0" w:name="HTML Keyboard"/>
    <w:lsdException w:unhideWhenUsed="0" w:uiPriority="0" w:semiHidden="0" w:name="HTML Preformatted"/>
    <w:lsdException w:uiPriority="99" w:semiHidden="0" w:name="HTML Sample"/>
    <w:lsdException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link w:val="71"/>
    <w:qFormat/>
    <w:uiPriority w:val="0"/>
    <w:pPr>
      <w:keepNext/>
      <w:keepLines/>
      <w:spacing w:before="260" w:after="260" w:line="413"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pPr>
  </w:style>
  <w:style w:type="paragraph" w:styleId="12">
    <w:name w:val="toc 7"/>
    <w:basedOn w:val="1"/>
    <w:next w:val="1"/>
    <w:uiPriority w:val="0"/>
    <w:pPr>
      <w:ind w:left="2520" w:leftChars="1200"/>
    </w:p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uiPriority w:val="0"/>
    <w:pPr>
      <w:shd w:val="clear" w:color="auto" w:fill="000080"/>
    </w:pPr>
  </w:style>
  <w:style w:type="paragraph" w:styleId="15">
    <w:name w:val="annotation text"/>
    <w:basedOn w:val="1"/>
    <w:uiPriority w:val="0"/>
    <w:pPr>
      <w:jc w:val="left"/>
    </w:pPr>
  </w:style>
  <w:style w:type="paragraph" w:styleId="16">
    <w:name w:val="Salutation"/>
    <w:basedOn w:val="1"/>
    <w:next w:val="1"/>
    <w:uiPriority w:val="0"/>
    <w:rPr>
      <w:rFonts w:ascii="仿宋_GB2312" w:eastAsia="仿宋_GB2312"/>
      <w:sz w:val="24"/>
    </w:rPr>
  </w:style>
  <w:style w:type="paragraph" w:styleId="17">
    <w:name w:val="Body Text"/>
    <w:basedOn w:val="1"/>
    <w:uiPriority w:val="0"/>
    <w:pPr>
      <w:spacing w:after="120"/>
    </w:pPr>
  </w:style>
  <w:style w:type="paragraph" w:styleId="18">
    <w:name w:val="Body Text Indent"/>
    <w:basedOn w:val="1"/>
    <w:uiPriority w:val="0"/>
    <w:pPr>
      <w:spacing w:after="120"/>
      <w:ind w:left="420" w:leftChars="200"/>
    </w:pPr>
  </w:style>
  <w:style w:type="paragraph" w:styleId="19">
    <w:name w:val="Block Text"/>
    <w:basedOn w:val="1"/>
    <w:uiPriority w:val="0"/>
    <w:pPr>
      <w:ind w:left="1171" w:right="91" w:hanging="1080"/>
    </w:pPr>
    <w:rPr>
      <w:rFonts w:eastAsia="楷体_GB2312"/>
      <w:szCs w:val="20"/>
    </w:rPr>
  </w:style>
  <w:style w:type="paragraph" w:styleId="20">
    <w:name w:val="toc 5"/>
    <w:basedOn w:val="1"/>
    <w:next w:val="1"/>
    <w:uiPriority w:val="0"/>
    <w:pPr>
      <w:ind w:left="1680" w:leftChars="800"/>
    </w:pPr>
  </w:style>
  <w:style w:type="paragraph" w:styleId="21">
    <w:name w:val="toc 3"/>
    <w:basedOn w:val="1"/>
    <w:next w:val="1"/>
    <w:qFormat/>
    <w:uiPriority w:val="39"/>
    <w:pPr>
      <w:ind w:left="840" w:leftChars="400"/>
    </w:pPr>
  </w:style>
  <w:style w:type="paragraph" w:styleId="22">
    <w:name w:val="Plain Text"/>
    <w:basedOn w:val="1"/>
    <w:link w:val="70"/>
    <w:uiPriority w:val="99"/>
    <w:rPr>
      <w:rFonts w:ascii="宋体" w:hAnsi="Courier New"/>
      <w:szCs w:val="21"/>
    </w:rPr>
  </w:style>
  <w:style w:type="paragraph" w:styleId="23">
    <w:name w:val="toc 8"/>
    <w:basedOn w:val="1"/>
    <w:next w:val="1"/>
    <w:uiPriority w:val="0"/>
    <w:pPr>
      <w:ind w:left="2940" w:leftChars="1400"/>
    </w:pPr>
  </w:style>
  <w:style w:type="paragraph" w:styleId="24">
    <w:name w:val="Date"/>
    <w:basedOn w:val="1"/>
    <w:next w:val="1"/>
    <w:link w:val="67"/>
    <w:uiPriority w:val="0"/>
    <w:rPr>
      <w:sz w:val="24"/>
      <w:szCs w:val="20"/>
    </w:rPr>
  </w:style>
  <w:style w:type="paragraph" w:styleId="25">
    <w:name w:val="Body Text Indent 2"/>
    <w:basedOn w:val="1"/>
    <w:uiPriority w:val="0"/>
    <w:pPr>
      <w:spacing w:after="120" w:line="480" w:lineRule="auto"/>
      <w:ind w:left="420" w:leftChars="200"/>
    </w:pPr>
  </w:style>
  <w:style w:type="paragraph" w:styleId="26">
    <w:name w:val="Balloon Text"/>
    <w:basedOn w:val="1"/>
    <w:uiPriority w:val="0"/>
    <w:rPr>
      <w:sz w:val="18"/>
      <w:szCs w:val="18"/>
    </w:rPr>
  </w:style>
  <w:style w:type="paragraph" w:styleId="27">
    <w:name w:val="footer"/>
    <w:basedOn w:val="1"/>
    <w:link w:val="59"/>
    <w:qFormat/>
    <w:uiPriority w:val="99"/>
    <w:pPr>
      <w:tabs>
        <w:tab w:val="center" w:pos="4153"/>
        <w:tab w:val="right" w:pos="8306"/>
      </w:tabs>
      <w:snapToGrid w:val="0"/>
      <w:jc w:val="left"/>
    </w:pPr>
    <w:rPr>
      <w:sz w:val="18"/>
      <w:szCs w:val="18"/>
    </w:rPr>
  </w:style>
  <w:style w:type="paragraph" w:styleId="28">
    <w:name w:val="header"/>
    <w:basedOn w:val="1"/>
    <w:link w:val="68"/>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style>
  <w:style w:type="paragraph" w:styleId="30">
    <w:name w:val="toc 4"/>
    <w:basedOn w:val="1"/>
    <w:next w:val="1"/>
    <w:uiPriority w:val="0"/>
    <w:pPr>
      <w:ind w:left="1260" w:leftChars="600"/>
    </w:pPr>
  </w:style>
  <w:style w:type="paragraph" w:styleId="31">
    <w:name w:val="toc 6"/>
    <w:basedOn w:val="1"/>
    <w:next w:val="1"/>
    <w:uiPriority w:val="0"/>
    <w:pPr>
      <w:ind w:left="2100" w:leftChars="1000"/>
    </w:pPr>
  </w:style>
  <w:style w:type="paragraph" w:styleId="32">
    <w:name w:val="Body Text Indent 3"/>
    <w:basedOn w:val="1"/>
    <w:uiPriority w:val="0"/>
    <w:pPr>
      <w:spacing w:after="120"/>
      <w:ind w:left="420" w:leftChars="200"/>
    </w:pPr>
    <w:rPr>
      <w:sz w:val="16"/>
      <w:szCs w:val="16"/>
    </w:rPr>
  </w:style>
  <w:style w:type="paragraph" w:styleId="33">
    <w:name w:val="toc 2"/>
    <w:basedOn w:val="1"/>
    <w:next w:val="1"/>
    <w:qFormat/>
    <w:uiPriority w:val="39"/>
    <w:pPr>
      <w:ind w:left="420" w:leftChars="200"/>
    </w:pPr>
  </w:style>
  <w:style w:type="paragraph" w:styleId="34">
    <w:name w:val="toc 9"/>
    <w:basedOn w:val="1"/>
    <w:next w:val="1"/>
    <w:uiPriority w:val="0"/>
    <w:pPr>
      <w:ind w:left="3360" w:leftChars="1600"/>
    </w:pPr>
  </w:style>
  <w:style w:type="paragraph" w:styleId="35">
    <w:name w:val="Body Text 2"/>
    <w:basedOn w:val="1"/>
    <w:link w:val="57"/>
    <w:uiPriority w:val="0"/>
    <w:pPr>
      <w:spacing w:after="120" w:line="480" w:lineRule="auto"/>
    </w:pPr>
  </w:style>
  <w:style w:type="paragraph" w:styleId="36">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7">
    <w:name w:val="Normal (Web)"/>
    <w:basedOn w:val="1"/>
    <w:uiPriority w:val="0"/>
    <w:pPr>
      <w:widowControl/>
      <w:spacing w:before="100" w:beforeAutospacing="1" w:after="100" w:afterAutospacing="1"/>
      <w:jc w:val="left"/>
    </w:pPr>
    <w:rPr>
      <w:rFonts w:ascii="宋体" w:hAnsi="宋体" w:cs="宋体"/>
      <w:kern w:val="0"/>
      <w:sz w:val="24"/>
    </w:rPr>
  </w:style>
  <w:style w:type="paragraph" w:styleId="38">
    <w:name w:val="index 1"/>
    <w:basedOn w:val="1"/>
    <w:next w:val="1"/>
    <w:uiPriority w:val="0"/>
    <w:pPr>
      <w:spacing w:line="220" w:lineRule="exact"/>
      <w:jc w:val="center"/>
    </w:pPr>
    <w:rPr>
      <w:rFonts w:ascii="仿宋_GB2312" w:eastAsia="仿宋_GB2312"/>
      <w:szCs w:val="20"/>
    </w:rPr>
  </w:style>
  <w:style w:type="paragraph" w:styleId="39">
    <w:name w:val="annotation subject"/>
    <w:basedOn w:val="15"/>
    <w:next w:val="15"/>
    <w:qFormat/>
    <w:uiPriority w:val="0"/>
    <w:rPr>
      <w:b/>
      <w:bCs/>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3">
    <w:name w:val="Strong"/>
    <w:qFormat/>
    <w:uiPriority w:val="0"/>
    <w:rPr>
      <w:b/>
      <w:bCs/>
    </w:rPr>
  </w:style>
  <w:style w:type="character" w:styleId="44">
    <w:name w:val="page number"/>
    <w:basedOn w:val="42"/>
    <w:uiPriority w:val="0"/>
  </w:style>
  <w:style w:type="character" w:styleId="45">
    <w:name w:val="FollowedHyperlink"/>
    <w:uiPriority w:val="99"/>
    <w:rPr>
      <w:color w:val="800080"/>
      <w:u w:val="none"/>
    </w:rPr>
  </w:style>
  <w:style w:type="character" w:styleId="46">
    <w:name w:val="Emphasis"/>
    <w:basedOn w:val="42"/>
    <w:qFormat/>
    <w:uiPriority w:val="20"/>
  </w:style>
  <w:style w:type="character" w:styleId="47">
    <w:name w:val="HTML Definition"/>
    <w:basedOn w:val="42"/>
    <w:unhideWhenUsed/>
    <w:uiPriority w:val="99"/>
  </w:style>
  <w:style w:type="character" w:styleId="48">
    <w:name w:val="HTML Typewriter"/>
    <w:basedOn w:val="42"/>
    <w:unhideWhenUsed/>
    <w:uiPriority w:val="99"/>
    <w:rPr>
      <w:rFonts w:ascii="monospace" w:hAnsi="monospace" w:eastAsia="monospace" w:cs="monospace"/>
      <w:sz w:val="20"/>
    </w:rPr>
  </w:style>
  <w:style w:type="character" w:styleId="49">
    <w:name w:val="HTML Acronym"/>
    <w:basedOn w:val="42"/>
    <w:unhideWhenUsed/>
    <w:uiPriority w:val="99"/>
  </w:style>
  <w:style w:type="character" w:styleId="50">
    <w:name w:val="HTML Variable"/>
    <w:basedOn w:val="42"/>
    <w:unhideWhenUsed/>
    <w:qFormat/>
    <w:uiPriority w:val="99"/>
  </w:style>
  <w:style w:type="character" w:styleId="51">
    <w:name w:val="Hyperlink"/>
    <w:basedOn w:val="42"/>
    <w:uiPriority w:val="99"/>
    <w:rPr>
      <w:color w:val="136EC2"/>
      <w:u w:val="single"/>
    </w:rPr>
  </w:style>
  <w:style w:type="character" w:styleId="52">
    <w:name w:val="HTML Code"/>
    <w:basedOn w:val="42"/>
    <w:unhideWhenUsed/>
    <w:uiPriority w:val="99"/>
    <w:rPr>
      <w:rFonts w:hint="default" w:ascii="monospace" w:hAnsi="monospace" w:eastAsia="monospace" w:cs="monospace"/>
      <w:sz w:val="20"/>
    </w:rPr>
  </w:style>
  <w:style w:type="character" w:styleId="53">
    <w:name w:val="annotation reference"/>
    <w:uiPriority w:val="0"/>
    <w:rPr>
      <w:sz w:val="21"/>
      <w:szCs w:val="21"/>
    </w:rPr>
  </w:style>
  <w:style w:type="character" w:styleId="54">
    <w:name w:val="HTML Cite"/>
    <w:basedOn w:val="42"/>
    <w:unhideWhenUsed/>
    <w:qFormat/>
    <w:uiPriority w:val="99"/>
  </w:style>
  <w:style w:type="character" w:styleId="55">
    <w:name w:val="HTML Keyboard"/>
    <w:basedOn w:val="42"/>
    <w:unhideWhenUsed/>
    <w:uiPriority w:val="99"/>
    <w:rPr>
      <w:rFonts w:hint="default" w:ascii="monospace" w:hAnsi="monospace" w:eastAsia="monospace" w:cs="monospace"/>
      <w:sz w:val="20"/>
    </w:rPr>
  </w:style>
  <w:style w:type="character" w:styleId="56">
    <w:name w:val="HTML Sample"/>
    <w:basedOn w:val="42"/>
    <w:unhideWhenUsed/>
    <w:uiPriority w:val="99"/>
    <w:rPr>
      <w:rFonts w:hint="default" w:ascii="monospace" w:hAnsi="monospace" w:eastAsia="monospace" w:cs="monospace"/>
    </w:rPr>
  </w:style>
  <w:style w:type="character" w:customStyle="1" w:styleId="57">
    <w:name w:val="正文文本 2 Char"/>
    <w:basedOn w:val="42"/>
    <w:link w:val="35"/>
    <w:uiPriority w:val="0"/>
    <w:rPr>
      <w:kern w:val="2"/>
      <w:sz w:val="21"/>
      <w:szCs w:val="24"/>
    </w:rPr>
  </w:style>
  <w:style w:type="character" w:customStyle="1" w:styleId="58">
    <w:name w:val="apple-converted-space"/>
    <w:basedOn w:val="42"/>
    <w:uiPriority w:val="0"/>
  </w:style>
  <w:style w:type="character" w:customStyle="1" w:styleId="59">
    <w:name w:val="页脚 Char"/>
    <w:link w:val="27"/>
    <w:uiPriority w:val="99"/>
    <w:rPr>
      <w:rFonts w:eastAsia="宋体"/>
      <w:kern w:val="2"/>
      <w:sz w:val="18"/>
      <w:szCs w:val="18"/>
      <w:lang w:val="en-US" w:eastAsia="zh-CN" w:bidi="ar-SA"/>
    </w:rPr>
  </w:style>
  <w:style w:type="character" w:customStyle="1" w:styleId="60">
    <w:name w:val="无间隔 Char"/>
    <w:link w:val="61"/>
    <w:uiPriority w:val="0"/>
    <w:rPr>
      <w:rFonts w:ascii="Calibri" w:hAnsi="Calibri" w:eastAsia="宋体"/>
      <w:lang w:val="en-US" w:eastAsia="en-US" w:bidi="en-US"/>
    </w:rPr>
  </w:style>
  <w:style w:type="paragraph" w:styleId="61">
    <w:name w:val="No Spacing"/>
    <w:basedOn w:val="1"/>
    <w:link w:val="60"/>
    <w:qFormat/>
    <w:uiPriority w:val="0"/>
    <w:pPr>
      <w:widowControl/>
      <w:jc w:val="left"/>
    </w:pPr>
    <w:rPr>
      <w:kern w:val="0"/>
      <w:sz w:val="20"/>
      <w:szCs w:val="20"/>
      <w:lang w:eastAsia="en-US" w:bidi="en-US"/>
    </w:rPr>
  </w:style>
  <w:style w:type="character" w:customStyle="1" w:styleId="62">
    <w:name w:val="ca-1"/>
    <w:basedOn w:val="42"/>
    <w:qFormat/>
    <w:uiPriority w:val="0"/>
  </w:style>
  <w:style w:type="character" w:customStyle="1" w:styleId="63">
    <w:name w:val="p0 Char"/>
    <w:qFormat/>
    <w:uiPriority w:val="0"/>
    <w:rPr>
      <w:rFonts w:eastAsia="宋体"/>
      <w:sz w:val="21"/>
      <w:szCs w:val="21"/>
      <w:lang w:val="en-US" w:eastAsia="zh-CN" w:bidi="ar-SA"/>
    </w:rPr>
  </w:style>
  <w:style w:type="character" w:customStyle="1" w:styleId="64">
    <w:name w:val="content"/>
    <w:basedOn w:val="42"/>
    <w:qFormat/>
    <w:uiPriority w:val="0"/>
    <w:rPr>
      <w:sz w:val="19"/>
      <w:szCs w:val="19"/>
    </w:rPr>
  </w:style>
  <w:style w:type="character" w:customStyle="1" w:styleId="65">
    <w:name w:val="title_2"/>
    <w:basedOn w:val="42"/>
    <w:qFormat/>
    <w:uiPriority w:val="0"/>
    <w:rPr>
      <w:b/>
      <w:sz w:val="19"/>
      <w:szCs w:val="19"/>
    </w:rPr>
  </w:style>
  <w:style w:type="character" w:customStyle="1" w:styleId="66">
    <w:name w:val="content_table1"/>
    <w:basedOn w:val="42"/>
    <w:qFormat/>
    <w:uiPriority w:val="0"/>
    <w:rPr>
      <w:sz w:val="19"/>
      <w:szCs w:val="19"/>
    </w:rPr>
  </w:style>
  <w:style w:type="character" w:customStyle="1" w:styleId="67">
    <w:name w:val="日期 Char"/>
    <w:link w:val="24"/>
    <w:uiPriority w:val="0"/>
    <w:rPr>
      <w:rFonts w:eastAsia="宋体"/>
      <w:kern w:val="2"/>
      <w:sz w:val="24"/>
      <w:lang w:val="en-US" w:eastAsia="zh-CN" w:bidi="ar-SA"/>
    </w:rPr>
  </w:style>
  <w:style w:type="character" w:customStyle="1" w:styleId="68">
    <w:name w:val="页眉 Char"/>
    <w:link w:val="28"/>
    <w:uiPriority w:val="0"/>
    <w:rPr>
      <w:rFonts w:eastAsia="宋体"/>
      <w:kern w:val="2"/>
      <w:sz w:val="18"/>
      <w:szCs w:val="18"/>
      <w:lang w:val="en-US" w:eastAsia="zh-CN" w:bidi="ar-SA"/>
    </w:rPr>
  </w:style>
  <w:style w:type="character" w:customStyle="1" w:styleId="69">
    <w:name w:val="p0 Char Char Char"/>
    <w:uiPriority w:val="0"/>
    <w:rPr>
      <w:rFonts w:eastAsia="宋体"/>
      <w:sz w:val="21"/>
      <w:szCs w:val="21"/>
      <w:lang w:val="en-US" w:eastAsia="zh-CN" w:bidi="ar-SA"/>
    </w:rPr>
  </w:style>
  <w:style w:type="character" w:customStyle="1" w:styleId="70">
    <w:name w:val="纯文本 Char"/>
    <w:link w:val="22"/>
    <w:locked/>
    <w:uiPriority w:val="99"/>
    <w:rPr>
      <w:rFonts w:ascii="宋体" w:hAnsi="Courier New" w:cs="Courier New"/>
      <w:kern w:val="2"/>
      <w:sz w:val="21"/>
      <w:szCs w:val="21"/>
    </w:rPr>
  </w:style>
  <w:style w:type="character" w:customStyle="1" w:styleId="71">
    <w:name w:val="标题 3 Char"/>
    <w:link w:val="4"/>
    <w:uiPriority w:val="0"/>
    <w:rPr>
      <w:rFonts w:eastAsia="宋体"/>
      <w:b/>
      <w:bCs/>
      <w:kern w:val="2"/>
      <w:sz w:val="32"/>
      <w:szCs w:val="32"/>
      <w:lang w:val="en-US" w:eastAsia="zh-CN" w:bidi="ar-SA"/>
    </w:rPr>
  </w:style>
  <w:style w:type="character" w:customStyle="1" w:styleId="72">
    <w:name w:val="title_1"/>
    <w:basedOn w:val="42"/>
    <w:uiPriority w:val="0"/>
    <w:rPr>
      <w:b/>
      <w:sz w:val="30"/>
      <w:szCs w:val="30"/>
    </w:rPr>
  </w:style>
  <w:style w:type="character" w:customStyle="1" w:styleId="73">
    <w:name w:val="p0 Char Char"/>
    <w:link w:val="74"/>
    <w:qFormat/>
    <w:uiPriority w:val="0"/>
    <w:rPr>
      <w:rFonts w:eastAsia="宋体"/>
      <w:sz w:val="21"/>
      <w:szCs w:val="21"/>
      <w:lang w:val="en-US" w:eastAsia="zh-CN" w:bidi="ar-SA"/>
    </w:rPr>
  </w:style>
  <w:style w:type="paragraph" w:customStyle="1" w:styleId="74">
    <w:name w:val="p0"/>
    <w:basedOn w:val="1"/>
    <w:link w:val="73"/>
    <w:qFormat/>
    <w:uiPriority w:val="0"/>
    <w:pPr>
      <w:widowControl/>
    </w:pPr>
    <w:rPr>
      <w:kern w:val="0"/>
      <w:szCs w:val="21"/>
    </w:rPr>
  </w:style>
  <w:style w:type="character" w:customStyle="1" w:styleId="75">
    <w:name w:val="content_1"/>
    <w:basedOn w:val="42"/>
    <w:qFormat/>
    <w:uiPriority w:val="0"/>
    <w:rPr>
      <w:sz w:val="19"/>
      <w:szCs w:val="19"/>
    </w:rPr>
  </w:style>
  <w:style w:type="character" w:customStyle="1" w:styleId="76">
    <w:name w:val="content_3"/>
    <w:basedOn w:val="42"/>
    <w:qFormat/>
    <w:uiPriority w:val="0"/>
    <w:rPr>
      <w:sz w:val="19"/>
      <w:szCs w:val="19"/>
    </w:rPr>
  </w:style>
  <w:style w:type="character" w:customStyle="1" w:styleId="77">
    <w:name w:val="content_2"/>
    <w:basedOn w:val="42"/>
    <w:qFormat/>
    <w:uiPriority w:val="0"/>
    <w:rPr>
      <w:sz w:val="19"/>
      <w:szCs w:val="19"/>
    </w:rPr>
  </w:style>
  <w:style w:type="character" w:customStyle="1" w:styleId="78">
    <w:name w:val="纯文本 Char1"/>
    <w:locked/>
    <w:uiPriority w:val="0"/>
    <w:rPr>
      <w:rFonts w:ascii="宋体" w:hAnsi="Courier New" w:eastAsia="宋体" w:cs="Courier New"/>
      <w:kern w:val="2"/>
      <w:sz w:val="21"/>
      <w:szCs w:val="21"/>
      <w:lang w:val="en-US" w:eastAsia="zh-CN" w:bidi="ar-SA"/>
    </w:rPr>
  </w:style>
  <w:style w:type="paragraph" w:customStyle="1" w:styleId="79">
    <w:name w:val="WPSOffice手动目录 2"/>
    <w:uiPriority w:val="0"/>
    <w:pPr>
      <w:ind w:left="200" w:leftChars="200"/>
    </w:pPr>
    <w:rPr>
      <w:rFonts w:ascii="Calibri" w:hAnsi="Calibri" w:eastAsia="宋体" w:cs="Times New Roman"/>
      <w:lang w:val="en-US" w:eastAsia="zh-CN" w:bidi="ar-SA"/>
    </w:rPr>
  </w:style>
  <w:style w:type="paragraph" w:customStyle="1" w:styleId="80">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1">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82">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83">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4">
    <w:name w:val="标题 1 +"/>
    <w:basedOn w:val="2"/>
    <w:next w:val="1"/>
    <w:qFormat/>
    <w:uiPriority w:val="0"/>
    <w:pPr>
      <w:keepLines/>
      <w:spacing w:line="600" w:lineRule="auto"/>
    </w:pPr>
    <w:rPr>
      <w:rFonts w:eastAsia="黑体"/>
      <w:kern w:val="0"/>
      <w:sz w:val="32"/>
      <w:szCs w:val="32"/>
    </w:rPr>
  </w:style>
  <w:style w:type="paragraph" w:customStyle="1" w:styleId="8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86">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87">
    <w:name w:val="pa-12"/>
    <w:basedOn w:val="1"/>
    <w:qFormat/>
    <w:uiPriority w:val="0"/>
    <w:pPr>
      <w:widowControl/>
      <w:spacing w:before="150" w:after="150"/>
      <w:jc w:val="left"/>
    </w:pPr>
    <w:rPr>
      <w:rFonts w:ascii="宋体" w:hAnsi="宋体" w:cs="宋体"/>
      <w:kern w:val="0"/>
      <w:sz w:val="24"/>
    </w:rPr>
  </w:style>
  <w:style w:type="paragraph" w:customStyle="1" w:styleId="8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8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90">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91">
    <w:name w:val="Char Char"/>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93">
    <w:name w:val="xl72"/>
    <w:basedOn w:val="1"/>
    <w:uiPriority w:val="0"/>
    <w:pPr>
      <w:widowControl/>
      <w:shd w:val="clear" w:color="000000" w:fill="FFFFFF"/>
      <w:spacing w:before="100" w:beforeAutospacing="1" w:after="100" w:afterAutospacing="1"/>
      <w:jc w:val="left"/>
      <w:textAlignment w:val="center"/>
    </w:pPr>
    <w:rPr>
      <w:rFonts w:ascii="宋体" w:hAnsi="宋体" w:cs="宋体"/>
      <w:kern w:val="0"/>
      <w:sz w:val="22"/>
      <w:szCs w:val="22"/>
    </w:rPr>
  </w:style>
  <w:style w:type="paragraph" w:customStyle="1" w:styleId="94">
    <w:name w:val="Char"/>
    <w:basedOn w:val="1"/>
    <w:uiPriority w:val="0"/>
    <w:pPr>
      <w:widowControl/>
      <w:spacing w:after="160" w:line="240" w:lineRule="exact"/>
      <w:jc w:val="left"/>
    </w:pPr>
    <w:rPr>
      <w:rFonts w:ascii="Verdana" w:hAnsi="Verdana"/>
      <w:kern w:val="0"/>
      <w:sz w:val="20"/>
      <w:szCs w:val="20"/>
      <w:lang w:eastAsia="en-US"/>
    </w:rPr>
  </w:style>
  <w:style w:type="paragraph" w:styleId="95">
    <w:name w:val="List Paragraph"/>
    <w:basedOn w:val="1"/>
    <w:qFormat/>
    <w:uiPriority w:val="34"/>
    <w:pPr>
      <w:ind w:firstLine="420" w:firstLineChars="200"/>
    </w:pPr>
  </w:style>
  <w:style w:type="paragraph" w:customStyle="1" w:styleId="96">
    <w:name w:val="Char Char Char1 Char"/>
    <w:basedOn w:val="1"/>
    <w:uiPriority w:val="0"/>
    <w:pPr>
      <w:tabs>
        <w:tab w:val="left" w:pos="360"/>
      </w:tabs>
      <w:snapToGrid w:val="0"/>
      <w:spacing w:line="360" w:lineRule="auto"/>
    </w:pPr>
    <w:rPr>
      <w:rFonts w:eastAsia="仿宋_GB2312" w:cs="宋体"/>
      <w:sz w:val="24"/>
    </w:rPr>
  </w:style>
  <w:style w:type="paragraph" w:customStyle="1" w:styleId="97">
    <w:name w:val="Char1 Char Char Char 字元 Char Char 字元 Char 字元 Char1 Char Char Char"/>
    <w:basedOn w:val="1"/>
    <w:uiPriority w:val="0"/>
    <w:rPr>
      <w:szCs w:val="20"/>
    </w:rPr>
  </w:style>
  <w:style w:type="paragraph" w:customStyle="1" w:styleId="98">
    <w:name w:val="文档正文"/>
    <w:basedOn w:val="1"/>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99">
    <w:name w:val="Char Char1 Char Char Char Char Char1 Char Char Char Char"/>
    <w:basedOn w:val="14"/>
    <w:uiPriority w:val="0"/>
    <w:rPr>
      <w:rFonts w:ascii="Tahoma" w:hAnsi="Tahoma"/>
    </w:rPr>
  </w:style>
  <w:style w:type="paragraph" w:customStyle="1" w:styleId="100">
    <w:name w:val="正文 小四 段后: 0.5 行"/>
    <w:basedOn w:val="1"/>
    <w:uiPriority w:val="0"/>
    <w:pPr>
      <w:spacing w:afterLines="50" w:line="300" w:lineRule="auto"/>
      <w:ind w:firstLine="200" w:firstLineChars="200"/>
    </w:pPr>
    <w:rPr>
      <w:rFonts w:cs="宋体"/>
      <w:sz w:val="24"/>
      <w:szCs w:val="20"/>
    </w:rPr>
  </w:style>
  <w:style w:type="paragraph" w:customStyle="1" w:styleId="101">
    <w:name w:val="样式1 Char Char"/>
    <w:basedOn w:val="1"/>
    <w:next w:val="22"/>
    <w:uiPriority w:val="0"/>
    <w:pPr>
      <w:spacing w:line="360" w:lineRule="auto"/>
      <w:ind w:firstLine="516" w:firstLineChars="215"/>
    </w:pPr>
    <w:rPr>
      <w:sz w:val="24"/>
    </w:rPr>
  </w:style>
  <w:style w:type="paragraph" w:customStyle="1" w:styleId="102">
    <w:name w:val="List Paragraph1"/>
    <w:basedOn w:val="1"/>
    <w:uiPriority w:val="0"/>
    <w:pPr>
      <w:ind w:firstLine="420" w:firstLineChars="200"/>
    </w:pPr>
    <w:rPr>
      <w:szCs w:val="22"/>
    </w:rPr>
  </w:style>
  <w:style w:type="paragraph" w:customStyle="1" w:styleId="103">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04">
    <w:name w:val="样式 标题 2 + Times New Roman 四号 非加粗 段前: 5 磅 段后: 0 磅 行距: 固定值 20..."/>
    <w:basedOn w:val="3"/>
    <w:uiPriority w:val="0"/>
    <w:pPr>
      <w:spacing w:before="100" w:line="400" w:lineRule="exact"/>
    </w:pPr>
    <w:rPr>
      <w:rFonts w:ascii="Times New Roman" w:hAnsi="Times New Roman" w:eastAsia="黑体"/>
      <w:b w:val="0"/>
      <w:bCs w:val="0"/>
      <w:sz w:val="28"/>
      <w:szCs w:val="20"/>
    </w:rPr>
  </w:style>
  <w:style w:type="paragraph" w:customStyle="1" w:styleId="105">
    <w:name w:val="xl31"/>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06">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07">
    <w:name w:val="xl9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08">
    <w:name w:val="列出段落11"/>
    <w:basedOn w:val="1"/>
    <w:qFormat/>
    <w:uiPriority w:val="34"/>
    <w:pPr>
      <w:ind w:firstLine="420" w:firstLineChars="200"/>
    </w:pPr>
    <w:rPr>
      <w:rFonts w:hint="eastAsia"/>
    </w:rPr>
  </w:style>
  <w:style w:type="paragraph" w:customStyle="1" w:styleId="109">
    <w:name w:val="DocParagraph"/>
    <w:basedOn w:val="1"/>
    <w:qFormat/>
    <w:uiPriority w:val="0"/>
    <w:pPr>
      <w:spacing w:line="288" w:lineRule="auto"/>
      <w:ind w:left="1247"/>
    </w:pPr>
    <w:rPr>
      <w:rFonts w:ascii="Arial" w:hAnsi="Arial"/>
      <w:kern w:val="44"/>
      <w:szCs w:val="44"/>
    </w:rPr>
  </w:style>
  <w:style w:type="paragraph" w:customStyle="1" w:styleId="110">
    <w:name w:val="xl8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11">
    <w:name w:val="xl73"/>
    <w:basedOn w:val="1"/>
    <w:qFormat/>
    <w:uiPriority w:val="0"/>
    <w:pPr>
      <w:widowControl/>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12">
    <w:name w:val="列出段落3"/>
    <w:basedOn w:val="1"/>
    <w:unhideWhenUsed/>
    <w:qFormat/>
    <w:uiPriority w:val="34"/>
    <w:pPr>
      <w:ind w:firstLine="420" w:firstLineChars="200"/>
    </w:pPr>
  </w:style>
  <w:style w:type="paragraph" w:customStyle="1" w:styleId="113">
    <w:name w:val="xl69"/>
    <w:basedOn w:val="1"/>
    <w:uiPriority w:val="0"/>
    <w:pPr>
      <w:widowControl/>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14">
    <w:name w:val="xl10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1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16">
    <w:name w:val="xl71"/>
    <w:basedOn w:val="1"/>
    <w:qFormat/>
    <w:uiPriority w:val="0"/>
    <w:pPr>
      <w:widowControl/>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17">
    <w:name w:val="p16"/>
    <w:basedOn w:val="1"/>
    <w:qFormat/>
    <w:uiPriority w:val="0"/>
    <w:pPr>
      <w:widowControl/>
      <w:jc w:val="left"/>
    </w:pPr>
    <w:rPr>
      <w:kern w:val="0"/>
      <w:szCs w:val="21"/>
    </w:rPr>
  </w:style>
  <w:style w:type="paragraph" w:customStyle="1" w:styleId="118">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119">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2"/>
      <w:szCs w:val="22"/>
    </w:rPr>
  </w:style>
  <w:style w:type="paragraph" w:customStyle="1" w:styleId="120">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2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2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23">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24">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25">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2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127">
    <w:name w:val="xl68"/>
    <w:basedOn w:val="1"/>
    <w:qFormat/>
    <w:uiPriority w:val="0"/>
    <w:pPr>
      <w:widowControl/>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128">
    <w:name w:val="列出段落1"/>
    <w:basedOn w:val="1"/>
    <w:qFormat/>
    <w:uiPriority w:val="34"/>
    <w:pPr>
      <w:ind w:firstLine="420" w:firstLineChars="200"/>
    </w:pPr>
    <w:rPr>
      <w:rFonts w:cs="黑体"/>
      <w:szCs w:val="22"/>
    </w:rPr>
  </w:style>
  <w:style w:type="paragraph" w:customStyle="1" w:styleId="129">
    <w:name w:val="默认段落字体 Para Char Char Char Char Char Char Char Char Char Char Char Char Char Char Char Char"/>
    <w:basedOn w:val="1"/>
    <w:qFormat/>
    <w:uiPriority w:val="0"/>
  </w:style>
  <w:style w:type="paragraph" w:customStyle="1" w:styleId="130">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3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32">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33">
    <w:name w:val="列出段落2"/>
    <w:basedOn w:val="1"/>
    <w:qFormat/>
    <w:uiPriority w:val="34"/>
    <w:pPr>
      <w:ind w:firstLine="420" w:firstLineChars="200"/>
    </w:pPr>
  </w:style>
  <w:style w:type="paragraph" w:customStyle="1" w:styleId="134">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35">
    <w:name w:val="样式1"/>
    <w:basedOn w:val="1"/>
    <w:qFormat/>
    <w:uiPriority w:val="0"/>
    <w:pPr>
      <w:tabs>
        <w:tab w:val="left" w:pos="360"/>
      </w:tabs>
      <w:adjustRightInd w:val="0"/>
      <w:ind w:left="360" w:hanging="360"/>
      <w:textAlignment w:val="baseline"/>
    </w:pPr>
    <w:rPr>
      <w:rFonts w:ascii="宋体" w:hAnsi="宋体"/>
      <w:kern w:val="0"/>
      <w:szCs w:val="21"/>
    </w:rPr>
  </w:style>
  <w:style w:type="paragraph" w:customStyle="1" w:styleId="136">
    <w:name w:val="WPSOffice手动目录 3"/>
    <w:qFormat/>
    <w:uiPriority w:val="0"/>
    <w:pPr>
      <w:ind w:left="400" w:leftChars="400"/>
    </w:pPr>
    <w:rPr>
      <w:rFonts w:ascii="Calibri" w:hAnsi="Calibri" w:eastAsia="宋体" w:cs="Times New Roman"/>
      <w:lang w:val="en-US" w:eastAsia="zh-CN" w:bidi="ar-SA"/>
    </w:rPr>
  </w:style>
  <w:style w:type="paragraph" w:customStyle="1" w:styleId="137">
    <w:name w:val="Default"/>
    <w:qFormat/>
    <w:uiPriority w:val="0"/>
    <w:pPr>
      <w:widowControl w:val="0"/>
      <w:autoSpaceDE w:val="0"/>
      <w:autoSpaceDN w:val="0"/>
      <w:adjustRightInd w:val="0"/>
    </w:pPr>
    <w:rPr>
      <w:rFonts w:ascii="黑体" w:hAnsi="Calibri" w:eastAsia="黑体" w:cs="Times New Roman"/>
      <w:lang w:val="en-US" w:eastAsia="zh-CN" w:bidi="ar-SA"/>
    </w:rPr>
  </w:style>
  <w:style w:type="paragraph" w:customStyle="1" w:styleId="13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39">
    <w:name w:val="1"/>
    <w:basedOn w:val="1"/>
    <w:qFormat/>
    <w:uiPriority w:val="0"/>
    <w:pPr>
      <w:spacing w:afterLines="50" w:line="360" w:lineRule="auto"/>
    </w:pPr>
    <w:rPr>
      <w:rFonts w:ascii="宋体" w:hAnsi="宋体"/>
      <w:b/>
      <w:sz w:val="30"/>
      <w:szCs w:val="21"/>
    </w:rPr>
  </w:style>
  <w:style w:type="paragraph" w:customStyle="1" w:styleId="140">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2"/>
      <w:szCs w:val="22"/>
    </w:rPr>
  </w:style>
  <w:style w:type="paragraph" w:customStyle="1" w:styleId="1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2">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143">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44">
    <w:name w:val="Char Char Char"/>
    <w:basedOn w:val="1"/>
    <w:qFormat/>
    <w:uiPriority w:val="0"/>
    <w:rPr>
      <w:rFonts w:ascii="宋体" w:hAnsi="宋体"/>
      <w:b/>
      <w:sz w:val="28"/>
      <w:szCs w:val="28"/>
    </w:rPr>
  </w:style>
  <w:style w:type="paragraph" w:customStyle="1" w:styleId="14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7">
    <w:name w:val="Char2"/>
    <w:basedOn w:val="1"/>
    <w:qFormat/>
    <w:uiPriority w:val="0"/>
    <w:pPr>
      <w:tabs>
        <w:tab w:val="left" w:pos="360"/>
      </w:tabs>
      <w:ind w:left="360" w:hanging="360" w:hangingChars="200"/>
    </w:pPr>
    <w:rPr>
      <w:sz w:val="24"/>
    </w:rPr>
  </w:style>
  <w:style w:type="paragraph" w:customStyle="1" w:styleId="148">
    <w:name w:val="_Style 25"/>
    <w:basedOn w:val="1"/>
    <w:uiPriority w:val="0"/>
    <w:rPr>
      <w:szCs w:val="20"/>
    </w:rPr>
  </w:style>
  <w:style w:type="paragraph" w:customStyle="1" w:styleId="149">
    <w:name w:val="样式 标题 2 + 宋体 五号 行距: 单倍行距"/>
    <w:basedOn w:val="3"/>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50">
    <w:name w:val="xl9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51">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2"/>
      <w:szCs w:val="22"/>
    </w:rPr>
  </w:style>
  <w:style w:type="paragraph" w:customStyle="1" w:styleId="152">
    <w:name w:val="表格内容"/>
    <w:basedOn w:val="17"/>
    <w:qFormat/>
    <w:uiPriority w:val="0"/>
    <w:pPr>
      <w:suppressLineNumbers/>
      <w:suppressAutoHyphens/>
      <w:jc w:val="left"/>
    </w:pPr>
    <w:rPr>
      <w:rFonts w:cs="Tahoma"/>
      <w:kern w:val="0"/>
      <w:sz w:val="24"/>
    </w:rPr>
  </w:style>
  <w:style w:type="paragraph" w:customStyle="1" w:styleId="153">
    <w:name w:val="WPSOffice手动目录 1"/>
    <w:qFormat/>
    <w:uiPriority w:val="0"/>
    <w:rPr>
      <w:rFonts w:ascii="Calibri" w:hAnsi="Calibri" w:eastAsia="宋体" w:cs="Times New Roman"/>
      <w:lang w:val="en-US" w:eastAsia="zh-CN" w:bidi="ar-SA"/>
    </w:rPr>
  </w:style>
  <w:style w:type="paragraph" w:customStyle="1" w:styleId="15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5">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2"/>
      <w:szCs w:val="22"/>
    </w:rPr>
  </w:style>
  <w:style w:type="paragraph" w:customStyle="1" w:styleId="15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7">
    <w:name w:val="xl70"/>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158">
    <w:name w:val="TOC 标题1"/>
    <w:basedOn w:val="2"/>
    <w:next w:val="1"/>
    <w:semiHidden/>
    <w:unhideWhenUsed/>
    <w:qFormat/>
    <w:uiPriority w:val="39"/>
    <w:pPr>
      <w:keepLines/>
      <w:widowControl/>
      <w:spacing w:before="48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77AF7-0696-44AE-B2CF-9E32F1B6E85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82</Pages>
  <Words>6920</Words>
  <Characters>39444</Characters>
  <Lines>328</Lines>
  <Paragraphs>92</Paragraphs>
  <TotalTime>1269</TotalTime>
  <ScaleCrop>false</ScaleCrop>
  <LinksUpToDate>false</LinksUpToDate>
  <CharactersWithSpaces>46272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2019-04-18T01:58:00Z</dcterms:created>
  <dc:creator>Lenovo User</dc:creator>
  <cp:lastModifiedBy>Administrator</cp:lastModifiedBy>
  <cp:lastPrinted>2019-04-27T14:05:00Z</cp:lastPrinted>
  <dcterms:modified xsi:type="dcterms:W3CDTF">2019-05-13T03:09:54Z</dcterms:modified>
  <dc:title>第一章 公开招标操作规程</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